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16422" w:rsidRPr="00832AD7" w:rsidRDefault="002453CF" w:rsidP="00832AD7">
      <w:pPr>
        <w:spacing w:after="0" w:line="240" w:lineRule="auto"/>
        <w:rPr>
          <w:rFonts w:cs="David"/>
          <w:b/>
          <w:bCs/>
          <w:sz w:val="16"/>
          <w:szCs w:val="16"/>
          <w:rtl/>
        </w:rPr>
      </w:pPr>
      <w:r w:rsidRPr="006C3B1F">
        <w:rPr>
          <w:rFonts w:cs="David" w:hint="cs"/>
          <w:b/>
          <w:bCs/>
          <w:sz w:val="24"/>
          <w:szCs w:val="24"/>
          <w:rtl/>
        </w:rPr>
        <w:t xml:space="preserve">                                 </w:t>
      </w:r>
      <w:r w:rsidR="006B7B96" w:rsidRPr="006C3B1F">
        <w:rPr>
          <w:rFonts w:cs="David" w:hint="cs"/>
          <w:b/>
          <w:bCs/>
          <w:sz w:val="24"/>
          <w:szCs w:val="24"/>
          <w:rtl/>
        </w:rPr>
        <w:t xml:space="preserve">           </w:t>
      </w:r>
      <w:r w:rsidR="00631744">
        <w:rPr>
          <w:rFonts w:cs="David" w:hint="cs"/>
          <w:b/>
          <w:bCs/>
          <w:sz w:val="24"/>
          <w:szCs w:val="24"/>
          <w:rtl/>
        </w:rPr>
        <w:t xml:space="preserve">           </w:t>
      </w:r>
      <w:r w:rsidR="006C3B1F">
        <w:rPr>
          <w:rFonts w:cs="David" w:hint="cs"/>
          <w:b/>
          <w:bCs/>
          <w:sz w:val="24"/>
          <w:szCs w:val="24"/>
          <w:rtl/>
        </w:rPr>
        <w:t xml:space="preserve">   </w:t>
      </w:r>
      <w:r w:rsidRPr="006C3B1F">
        <w:rPr>
          <w:rFonts w:cs="David" w:hint="cs"/>
          <w:b/>
          <w:bCs/>
          <w:sz w:val="24"/>
          <w:szCs w:val="24"/>
          <w:rtl/>
        </w:rPr>
        <w:t xml:space="preserve">  </w:t>
      </w:r>
      <w:r w:rsidR="001D42A7">
        <w:rPr>
          <w:rFonts w:hint="cs"/>
          <w:b/>
          <w:bCs/>
          <w:rtl/>
        </w:rPr>
        <w:t xml:space="preserve">  </w:t>
      </w:r>
    </w:p>
    <w:p w:rsidR="00515986" w:rsidRPr="00AC56B7" w:rsidRDefault="00983123" w:rsidP="008F1CB3">
      <w:pPr>
        <w:spacing w:after="0" w:line="240" w:lineRule="auto"/>
        <w:jc w:val="right"/>
        <w:rPr>
          <w:rFonts w:ascii="Times New Roman" w:eastAsia="Times New Roman" w:hAnsi="Times New Roman" w:cs="David"/>
          <w:sz w:val="24"/>
          <w:szCs w:val="24"/>
          <w:rtl/>
        </w:rPr>
      </w:pPr>
      <w:r w:rsidRPr="00832AD7">
        <w:rPr>
          <w:rFonts w:ascii="Times New Roman" w:eastAsia="Times New Roman" w:hAnsi="Times New Roman" w:cs="David" w:hint="cs"/>
          <w:sz w:val="16"/>
          <w:szCs w:val="16"/>
          <w:rtl/>
        </w:rPr>
        <w:fldChar w:fldCharType="begin"/>
      </w:r>
      <w:r w:rsidRPr="00832AD7">
        <w:rPr>
          <w:rFonts w:ascii="Times New Roman" w:eastAsia="Times New Roman" w:hAnsi="Times New Roman" w:cs="David" w:hint="cs"/>
          <w:sz w:val="16"/>
          <w:szCs w:val="16"/>
          <w:rtl/>
        </w:rPr>
        <w:instrText xml:space="preserve"> </w:instrText>
      </w:r>
      <w:r w:rsidRPr="00832AD7">
        <w:rPr>
          <w:rFonts w:ascii="Times New Roman" w:eastAsia="Times New Roman" w:hAnsi="Times New Roman" w:cs="David"/>
          <w:sz w:val="16"/>
          <w:szCs w:val="16"/>
        </w:rPr>
        <w:instrText>DOCPROPERTY  DocNumber  \* MERGEFORMAT</w:instrText>
      </w:r>
      <w:r w:rsidRPr="00832AD7">
        <w:rPr>
          <w:rFonts w:ascii="Times New Roman" w:eastAsia="Times New Roman" w:hAnsi="Times New Roman" w:cs="David" w:hint="cs"/>
          <w:sz w:val="16"/>
          <w:szCs w:val="16"/>
          <w:rtl/>
        </w:rPr>
        <w:instrText xml:space="preserve"> </w:instrText>
      </w:r>
      <w:r w:rsidRPr="00832AD7">
        <w:rPr>
          <w:rFonts w:ascii="Times New Roman" w:eastAsia="Times New Roman" w:hAnsi="Times New Roman" w:cs="David" w:hint="cs"/>
          <w:sz w:val="16"/>
          <w:szCs w:val="16"/>
          <w:rtl/>
        </w:rPr>
        <w:fldChar w:fldCharType="separate"/>
      </w:r>
      <w:r w:rsidRPr="00832AD7">
        <w:rPr>
          <w:rFonts w:ascii="Times New Roman" w:eastAsia="Times New Roman" w:hAnsi="Times New Roman" w:cs="David" w:hint="cs"/>
          <w:sz w:val="16"/>
          <w:szCs w:val="16"/>
          <w:rtl/>
        </w:rPr>
        <w:t>4700-1039-2023-008167</w:t>
      </w:r>
      <w:r w:rsidRPr="00832AD7">
        <w:rPr>
          <w:rFonts w:ascii="Times New Roman" w:eastAsia="Times New Roman" w:hAnsi="Times New Roman" w:cs="David" w:hint="cs"/>
          <w:sz w:val="16"/>
          <w:szCs w:val="16"/>
          <w:rtl/>
        </w:rPr>
        <w:fldChar w:fldCharType="end"/>
      </w:r>
    </w:p>
    <w:p w:rsidR="00AC56B7" w:rsidRDefault="00AC56B7" w:rsidP="00AC56B7">
      <w:pPr>
        <w:spacing w:after="0" w:line="240" w:lineRule="auto"/>
        <w:jc w:val="center"/>
        <w:rPr>
          <w:rFonts w:ascii="FrankRuehl" w:hAnsi="FrankRuehl" w:cs="FrankRuehl"/>
          <w:b/>
          <w:bCs/>
          <w:color w:val="002060"/>
          <w:sz w:val="32"/>
          <w:szCs w:val="32"/>
          <w:u w:val="single"/>
          <w:rtl/>
        </w:rPr>
      </w:pPr>
    </w:p>
    <w:p w:rsidR="008F1CB3" w:rsidRDefault="00541C9E" w:rsidP="00AC56B7">
      <w:pPr>
        <w:spacing w:after="0" w:line="276" w:lineRule="auto"/>
        <w:jc w:val="center"/>
        <w:rPr>
          <w:rFonts w:ascii="FrankRuehl" w:hAnsi="FrankRuehl" w:cs="FrankRuehl"/>
          <w:b/>
          <w:bCs/>
          <w:color w:val="002060"/>
          <w:sz w:val="32"/>
          <w:szCs w:val="32"/>
          <w:u w:val="single"/>
          <w:rtl/>
        </w:rPr>
      </w:pPr>
      <w:r w:rsidRPr="00AC56B7">
        <w:rPr>
          <w:rFonts w:ascii="FrankRuehl" w:hAnsi="FrankRuehl" w:cs="FrankRuehl"/>
          <w:b/>
          <w:bCs/>
          <w:color w:val="002060"/>
          <w:sz w:val="32"/>
          <w:szCs w:val="32"/>
          <w:u w:val="single"/>
          <w:rtl/>
        </w:rPr>
        <w:t>תקציר פסק</w:t>
      </w:r>
      <w:r w:rsidRPr="00AC56B7">
        <w:rPr>
          <w:rFonts w:ascii="FrankRuehl" w:hAnsi="FrankRuehl" w:cs="FrankRuehl" w:hint="cs"/>
          <w:b/>
          <w:bCs/>
          <w:color w:val="002060"/>
          <w:sz w:val="32"/>
          <w:szCs w:val="32"/>
          <w:u w:val="single"/>
          <w:rtl/>
        </w:rPr>
        <w:t>-</w:t>
      </w:r>
      <w:r w:rsidRPr="00AC56B7">
        <w:rPr>
          <w:rFonts w:ascii="FrankRuehl" w:hAnsi="FrankRuehl" w:cs="FrankRuehl"/>
          <w:b/>
          <w:bCs/>
          <w:color w:val="002060"/>
          <w:sz w:val="32"/>
          <w:szCs w:val="32"/>
          <w:u w:val="single"/>
          <w:rtl/>
        </w:rPr>
        <w:t>דין</w:t>
      </w:r>
      <w:r w:rsidR="00697BC3" w:rsidRPr="00AC56B7">
        <w:rPr>
          <w:rFonts w:ascii="FrankRuehl" w:hAnsi="FrankRuehl" w:cs="FrankRuehl" w:hint="cs"/>
          <w:b/>
          <w:bCs/>
          <w:color w:val="002060"/>
          <w:sz w:val="32"/>
          <w:szCs w:val="32"/>
          <w:u w:val="single"/>
          <w:rtl/>
        </w:rPr>
        <w:t xml:space="preserve"> ת"א 11384-04-18 </w:t>
      </w:r>
      <w:r w:rsidRPr="00AC56B7">
        <w:rPr>
          <w:rFonts w:ascii="FrankRuehl" w:hAnsi="FrankRuehl" w:cs="FrankRuehl" w:hint="cs"/>
          <w:b/>
          <w:bCs/>
          <w:color w:val="002060"/>
          <w:sz w:val="32"/>
          <w:szCs w:val="32"/>
          <w:u w:val="single"/>
          <w:rtl/>
        </w:rPr>
        <w:t xml:space="preserve"> </w:t>
      </w:r>
    </w:p>
    <w:p w:rsidR="00541C9E" w:rsidRPr="00697BC3" w:rsidRDefault="00697BC3" w:rsidP="00AC56B7">
      <w:pPr>
        <w:spacing w:after="0" w:line="276" w:lineRule="auto"/>
        <w:jc w:val="center"/>
        <w:rPr>
          <w:rFonts w:ascii="FrankRuehl" w:hAnsi="FrankRuehl" w:cs="FrankRuehl"/>
          <w:b/>
          <w:bCs/>
          <w:color w:val="002060"/>
          <w:sz w:val="32"/>
          <w:szCs w:val="32"/>
          <w:u w:val="single"/>
          <w:rtl/>
        </w:rPr>
      </w:pPr>
      <w:r>
        <w:rPr>
          <w:rFonts w:ascii="FrankRuehl" w:hAnsi="FrankRuehl" w:cs="FrankRuehl" w:hint="cs"/>
          <w:b/>
          <w:bCs/>
          <w:color w:val="002060"/>
          <w:sz w:val="32"/>
          <w:szCs w:val="32"/>
          <w:rtl/>
        </w:rPr>
        <w:t xml:space="preserve">פלונית נ' </w:t>
      </w:r>
      <w:r w:rsidRPr="00697BC3">
        <w:rPr>
          <w:rFonts w:ascii="FrankRuehl" w:hAnsi="FrankRuehl" w:cs="FrankRuehl" w:hint="cs"/>
          <w:b/>
          <w:bCs/>
          <w:color w:val="002060"/>
          <w:sz w:val="32"/>
          <w:szCs w:val="32"/>
          <w:rtl/>
        </w:rPr>
        <w:t xml:space="preserve">משרד המשפטים </w:t>
      </w:r>
      <w:r w:rsidRPr="00697BC3">
        <w:rPr>
          <w:rFonts w:ascii="FrankRuehl" w:hAnsi="FrankRuehl" w:cs="FrankRuehl"/>
          <w:b/>
          <w:bCs/>
          <w:color w:val="002060"/>
          <w:sz w:val="32"/>
          <w:szCs w:val="32"/>
          <w:rtl/>
        </w:rPr>
        <w:t>–</w:t>
      </w:r>
      <w:r w:rsidRPr="00697BC3">
        <w:rPr>
          <w:rFonts w:ascii="FrankRuehl" w:hAnsi="FrankRuehl" w:cs="FrankRuehl" w:hint="cs"/>
          <w:b/>
          <w:bCs/>
          <w:color w:val="002060"/>
          <w:sz w:val="32"/>
          <w:szCs w:val="32"/>
          <w:rtl/>
        </w:rPr>
        <w:t xml:space="preserve"> מח"ש</w:t>
      </w:r>
    </w:p>
    <w:p w:rsidR="00541C9E" w:rsidRDefault="00697BC3" w:rsidP="00AC56B7">
      <w:pPr>
        <w:spacing w:after="0" w:line="276" w:lineRule="auto"/>
        <w:jc w:val="center"/>
        <w:rPr>
          <w:rFonts w:ascii="FrankRuehl" w:hAnsi="FrankRuehl" w:cs="FrankRuehl"/>
          <w:b/>
          <w:bCs/>
          <w:color w:val="002060"/>
          <w:sz w:val="32"/>
          <w:szCs w:val="32"/>
          <w:rtl/>
        </w:rPr>
      </w:pPr>
      <w:r>
        <w:rPr>
          <w:rFonts w:ascii="FrankRuehl" w:hAnsi="FrankRuehl" w:cs="FrankRuehl" w:hint="cs"/>
          <w:b/>
          <w:bCs/>
          <w:color w:val="002060"/>
          <w:sz w:val="32"/>
          <w:szCs w:val="32"/>
          <w:rtl/>
        </w:rPr>
        <w:t xml:space="preserve">סגנית הנשיאה </w:t>
      </w:r>
      <w:r w:rsidR="00541C9E" w:rsidRPr="000071E5">
        <w:rPr>
          <w:rFonts w:ascii="FrankRuehl" w:hAnsi="FrankRuehl" w:cs="FrankRuehl"/>
          <w:b/>
          <w:bCs/>
          <w:color w:val="002060"/>
          <w:sz w:val="32"/>
          <w:szCs w:val="32"/>
          <w:rtl/>
        </w:rPr>
        <w:t xml:space="preserve">השופטת </w:t>
      </w:r>
      <w:r w:rsidRPr="00697BC3">
        <w:rPr>
          <w:rFonts w:ascii="FrankRuehl" w:hAnsi="FrankRuehl" w:cs="FrankRuehl"/>
          <w:b/>
          <w:bCs/>
          <w:color w:val="002060"/>
          <w:sz w:val="32"/>
          <w:szCs w:val="32"/>
          <w:rtl/>
        </w:rPr>
        <w:t>בלהה טולקובסקי</w:t>
      </w:r>
    </w:p>
    <w:p w:rsidR="00697BC3" w:rsidRPr="000071E5" w:rsidRDefault="00697BC3" w:rsidP="00697BC3">
      <w:pPr>
        <w:spacing w:after="120"/>
        <w:jc w:val="center"/>
        <w:rPr>
          <w:rFonts w:ascii="FrankRuehl" w:hAnsi="FrankRuehl" w:cs="FrankRuehl"/>
          <w:b/>
          <w:bCs/>
          <w:color w:val="002060"/>
          <w:sz w:val="32"/>
          <w:szCs w:val="32"/>
          <w:rtl/>
        </w:rPr>
      </w:pPr>
    </w:p>
    <w:p w:rsidR="00697BC3" w:rsidRDefault="00697BC3" w:rsidP="00697BC3">
      <w:pPr>
        <w:spacing w:after="0" w:line="360" w:lineRule="auto"/>
        <w:jc w:val="both"/>
        <w:rPr>
          <w:rFonts w:ascii="David" w:hAnsi="David" w:cs="David"/>
          <w:sz w:val="24"/>
          <w:szCs w:val="24"/>
          <w:rtl/>
        </w:rPr>
      </w:pPr>
      <w:r w:rsidRPr="001C7E02">
        <w:rPr>
          <w:rFonts w:ascii="David" w:hAnsi="David" w:cs="David"/>
          <w:sz w:val="24"/>
          <w:szCs w:val="24"/>
          <w:rtl/>
        </w:rPr>
        <w:t xml:space="preserve">מדובר בתביעה שהוגשה על ידי שתי שוטרות שנחקרו כעדות על ידי המחלקה לחקירת שוטרים - מח"ש, במסגרת חקירה שנפתחה נגד מי שהיה בעת ההיא אחד המפקדים הבכירים במשטרה, ניצב ניסו שחם ואשר לימים עמד לדין והורשע בעבירות של מעשה מגונה, הפרת אמונים והטרדה מינית בגין קיום יחסים </w:t>
      </w:r>
      <w:r>
        <w:rPr>
          <w:rFonts w:ascii="David" w:hAnsi="David" w:cs="David" w:hint="cs"/>
          <w:sz w:val="24"/>
          <w:szCs w:val="24"/>
          <w:rtl/>
        </w:rPr>
        <w:t xml:space="preserve">אינטימיים </w:t>
      </w:r>
      <w:r w:rsidRPr="001C7E02">
        <w:rPr>
          <w:rFonts w:ascii="David" w:hAnsi="David" w:cs="David"/>
          <w:sz w:val="24"/>
          <w:szCs w:val="24"/>
          <w:rtl/>
        </w:rPr>
        <w:t xml:space="preserve">עם שוטרות זוטרות ממנו. </w:t>
      </w:r>
    </w:p>
    <w:p w:rsidR="00697BC3" w:rsidRPr="001C7E02" w:rsidRDefault="00697BC3" w:rsidP="00697BC3">
      <w:pPr>
        <w:spacing w:after="0" w:line="360" w:lineRule="auto"/>
        <w:jc w:val="both"/>
        <w:rPr>
          <w:rFonts w:ascii="David" w:hAnsi="David" w:cs="David"/>
          <w:sz w:val="24"/>
          <w:szCs w:val="24"/>
          <w:rtl/>
        </w:rPr>
      </w:pPr>
      <w:r w:rsidRPr="001C7E02">
        <w:rPr>
          <w:rFonts w:ascii="David" w:hAnsi="David" w:cs="David"/>
          <w:sz w:val="24"/>
          <w:szCs w:val="24"/>
          <w:rtl/>
        </w:rPr>
        <w:t>בפסק הדין נקבע כי נוכח החשדות לביצוע עבירות מין או קיום יחסים אינטימיים בין מי שהיה בעל דרגה בכירה ביותר במשטרה לבין שוטרות זוטרות שהיו עמו ביחסי כפיפות, מדובר בחקירה שביסודה עמד אינטרס ציבורי חשוב - מיגור התופעה של הטרדות ופגיעות מיניות על-ידי בעלי דרגות בכירות</w:t>
      </w:r>
      <w:r>
        <w:rPr>
          <w:rFonts w:ascii="David" w:hAnsi="David" w:cs="David" w:hint="cs"/>
          <w:sz w:val="24"/>
          <w:szCs w:val="24"/>
          <w:rtl/>
        </w:rPr>
        <w:t xml:space="preserve"> במשטרה זאת</w:t>
      </w:r>
      <w:r w:rsidRPr="001C7E02">
        <w:rPr>
          <w:rFonts w:ascii="David" w:hAnsi="David" w:cs="David"/>
          <w:sz w:val="24"/>
          <w:szCs w:val="24"/>
          <w:rtl/>
        </w:rPr>
        <w:t xml:space="preserve"> לצורך קידום תרבות ארגונית של שמירה על טוהר המידות וקיום סביבת עבודה בטוחה. </w:t>
      </w:r>
    </w:p>
    <w:p w:rsidR="00697BC3" w:rsidRDefault="00697BC3" w:rsidP="00697BC3">
      <w:pPr>
        <w:spacing w:after="0" w:line="360" w:lineRule="auto"/>
        <w:jc w:val="both"/>
        <w:rPr>
          <w:rFonts w:ascii="David" w:hAnsi="David" w:cs="David"/>
          <w:sz w:val="24"/>
          <w:szCs w:val="24"/>
          <w:rtl/>
        </w:rPr>
      </w:pPr>
      <w:r w:rsidRPr="001C7E02">
        <w:rPr>
          <w:rFonts w:ascii="David" w:hAnsi="David" w:cs="David"/>
          <w:sz w:val="24"/>
          <w:szCs w:val="24"/>
          <w:rtl/>
        </w:rPr>
        <w:t>עם זאת, המטרה אינה מקדשת את כל האמצעים. גם כאשר מדובר בחקירה חשובה שיש אינטרס ציבורי מובהק בקיומה, יש לנהל את החקירה בהתאם להוראות הדין ובזהירות הראויה זאת תוך שמירה על זכויותיה</w:t>
      </w:r>
      <w:r>
        <w:rPr>
          <w:rFonts w:ascii="David" w:hAnsi="David" w:cs="David" w:hint="cs"/>
          <w:sz w:val="24"/>
          <w:szCs w:val="24"/>
          <w:rtl/>
        </w:rPr>
        <w:t>ן</w:t>
      </w:r>
      <w:r w:rsidRPr="001C7E02">
        <w:rPr>
          <w:rFonts w:ascii="David" w:hAnsi="David" w:cs="David"/>
          <w:sz w:val="24"/>
          <w:szCs w:val="24"/>
          <w:rtl/>
        </w:rPr>
        <w:t xml:space="preserve"> וכבוד</w:t>
      </w:r>
      <w:r>
        <w:rPr>
          <w:rFonts w:ascii="David" w:hAnsi="David" w:cs="David" w:hint="cs"/>
          <w:sz w:val="24"/>
          <w:szCs w:val="24"/>
          <w:rtl/>
        </w:rPr>
        <w:t>ן</w:t>
      </w:r>
      <w:r w:rsidRPr="001C7E02">
        <w:rPr>
          <w:rFonts w:ascii="David" w:hAnsi="David" w:cs="David"/>
          <w:sz w:val="24"/>
          <w:szCs w:val="24"/>
          <w:rtl/>
        </w:rPr>
        <w:t xml:space="preserve"> של </w:t>
      </w:r>
      <w:r>
        <w:rPr>
          <w:rFonts w:ascii="David" w:hAnsi="David" w:cs="David" w:hint="cs"/>
          <w:sz w:val="24"/>
          <w:szCs w:val="24"/>
          <w:rtl/>
        </w:rPr>
        <w:t>מי שנחקרו כעדות או כנפגעות עבירה פוטנציאליות.</w:t>
      </w:r>
    </w:p>
    <w:p w:rsidR="00E30969" w:rsidRPr="001C7E02" w:rsidRDefault="00E30969" w:rsidP="00697BC3">
      <w:pPr>
        <w:spacing w:after="0" w:line="360" w:lineRule="auto"/>
        <w:jc w:val="both"/>
        <w:rPr>
          <w:rFonts w:ascii="David" w:hAnsi="David" w:cs="David"/>
          <w:sz w:val="24"/>
          <w:szCs w:val="24"/>
          <w:rtl/>
        </w:rPr>
      </w:pPr>
    </w:p>
    <w:p w:rsidR="00697BC3" w:rsidRPr="001C7E02" w:rsidRDefault="00697BC3" w:rsidP="003372A6">
      <w:pPr>
        <w:spacing w:after="0" w:line="360" w:lineRule="auto"/>
        <w:jc w:val="both"/>
        <w:rPr>
          <w:rFonts w:ascii="David" w:hAnsi="David" w:cs="David"/>
          <w:sz w:val="24"/>
          <w:szCs w:val="24"/>
          <w:rtl/>
        </w:rPr>
      </w:pPr>
      <w:r w:rsidRPr="001C7E02">
        <w:rPr>
          <w:rFonts w:ascii="David" w:hAnsi="David" w:cs="David"/>
          <w:sz w:val="24"/>
          <w:szCs w:val="24"/>
          <w:rtl/>
        </w:rPr>
        <w:t xml:space="preserve">התובעות טענו כי חוקרי מח"ש נקטו נגדן בקו חקירה חודרני ומזלזל שכלל איומים לפיטורים והעמדה לדין זאת כאשר לא היה כל צורך לחקור אותן לאחר שכל אחת מהן הבהירה בחקירתה כי מדובר היה בקשר אינטימי - מיני מוסכם, נטול פוטנציאל לעבירות מין כלשהן. </w:t>
      </w:r>
    </w:p>
    <w:p w:rsidR="00697BC3" w:rsidRDefault="00697BC3" w:rsidP="00697BC3">
      <w:pPr>
        <w:spacing w:after="0" w:line="360" w:lineRule="auto"/>
        <w:jc w:val="both"/>
        <w:rPr>
          <w:rFonts w:ascii="David" w:hAnsi="David" w:cs="David"/>
          <w:sz w:val="24"/>
          <w:szCs w:val="24"/>
          <w:rtl/>
        </w:rPr>
      </w:pPr>
      <w:r w:rsidRPr="001C7E02">
        <w:rPr>
          <w:rFonts w:ascii="David" w:hAnsi="David" w:cs="David"/>
          <w:sz w:val="24"/>
          <w:szCs w:val="24"/>
          <w:rtl/>
        </w:rPr>
        <w:t>הנתבעת - מח"ש, טענה כי נוכח האירועים נושא החקירה וכתב האישום שהוגש בעקבותיה, ובמיוחד נוכח עוצמת האינטרס הציבורי שעמד ביסוד החקירה</w:t>
      </w:r>
      <w:r w:rsidR="003372A6">
        <w:rPr>
          <w:rFonts w:ascii="David" w:hAnsi="David" w:cs="David" w:hint="cs"/>
          <w:sz w:val="24"/>
          <w:szCs w:val="24"/>
          <w:rtl/>
        </w:rPr>
        <w:t>,</w:t>
      </w:r>
      <w:r w:rsidRPr="001C7E02">
        <w:rPr>
          <w:rFonts w:ascii="David" w:hAnsi="David" w:cs="David"/>
          <w:sz w:val="24"/>
          <w:szCs w:val="24"/>
          <w:rtl/>
        </w:rPr>
        <w:t xml:space="preserve"> יש לקבוע כי החקירה וגביית ההודעות מהתובעות נעשו בהתאם להוראות הדין, ההנחיות והנהלים שהיו תקפים במועד הרלוונטי. עוד נטען כי גם אם בדיעבד ניתן לסבור כי חלק מהשאלות שהתובעות נשאלו היה מיותר, הדבר אינו מקים עילת תביעה שמזכה בפיצויים כך שדין התביעה להידחות.   </w:t>
      </w:r>
    </w:p>
    <w:p w:rsidR="00E30969" w:rsidRPr="001C7E02" w:rsidRDefault="00E30969" w:rsidP="00697BC3">
      <w:pPr>
        <w:spacing w:after="0" w:line="360" w:lineRule="auto"/>
        <w:jc w:val="both"/>
        <w:rPr>
          <w:rFonts w:ascii="David" w:hAnsi="David" w:cs="David"/>
          <w:sz w:val="24"/>
          <w:szCs w:val="24"/>
          <w:rtl/>
        </w:rPr>
      </w:pPr>
    </w:p>
    <w:p w:rsidR="00697BC3" w:rsidRPr="001C7E02" w:rsidRDefault="003372A6" w:rsidP="003372A6">
      <w:pPr>
        <w:spacing w:after="0" w:line="360" w:lineRule="auto"/>
        <w:jc w:val="both"/>
        <w:rPr>
          <w:rFonts w:ascii="David" w:hAnsi="David" w:cs="David"/>
          <w:sz w:val="24"/>
          <w:szCs w:val="24"/>
          <w:rtl/>
        </w:rPr>
      </w:pPr>
      <w:r>
        <w:rPr>
          <w:rFonts w:ascii="David" w:hAnsi="David" w:cs="David" w:hint="cs"/>
          <w:sz w:val="24"/>
          <w:szCs w:val="24"/>
          <w:rtl/>
        </w:rPr>
        <w:t xml:space="preserve">בפסק הדין נדחתה </w:t>
      </w:r>
      <w:r w:rsidR="00697BC3">
        <w:rPr>
          <w:rFonts w:ascii="David" w:hAnsi="David" w:cs="David" w:hint="cs"/>
          <w:sz w:val="24"/>
          <w:szCs w:val="24"/>
          <w:rtl/>
        </w:rPr>
        <w:t>טענת</w:t>
      </w:r>
      <w:r>
        <w:rPr>
          <w:rFonts w:ascii="David" w:hAnsi="David" w:cs="David" w:hint="cs"/>
          <w:sz w:val="24"/>
          <w:szCs w:val="24"/>
          <w:rtl/>
        </w:rPr>
        <w:t xml:space="preserve"> </w:t>
      </w:r>
      <w:r w:rsidR="00697BC3">
        <w:rPr>
          <w:rFonts w:ascii="David" w:hAnsi="David" w:cs="David" w:hint="cs"/>
          <w:sz w:val="24"/>
          <w:szCs w:val="24"/>
          <w:rtl/>
        </w:rPr>
        <w:t>התובעות כי עצם החקירה בעניין הקשר האינטימי שהתנהל בין כל אחת מהן לבין שחם, מהווה פגיעה בזכותן לפרטיות ולשמירת המידע אודות הקשר האינטימי לעצמן</w:t>
      </w:r>
      <w:r>
        <w:rPr>
          <w:rFonts w:ascii="David" w:hAnsi="David" w:cs="David" w:hint="cs"/>
          <w:sz w:val="24"/>
          <w:szCs w:val="24"/>
          <w:rtl/>
        </w:rPr>
        <w:t>.</w:t>
      </w:r>
      <w:r w:rsidR="00697BC3">
        <w:rPr>
          <w:rFonts w:ascii="David" w:hAnsi="David" w:cs="David" w:hint="cs"/>
          <w:sz w:val="24"/>
          <w:szCs w:val="24"/>
          <w:rtl/>
        </w:rPr>
        <w:t xml:space="preserve"> נקבע כי התובעות, שהן שוטרות, היו יכולות לצפות כי ניהול קשר אינטימי עם בעל דרגה בכירה שהן מצויות </w:t>
      </w:r>
      <w:proofErr w:type="spellStart"/>
      <w:r w:rsidR="00697BC3">
        <w:rPr>
          <w:rFonts w:ascii="David" w:hAnsi="David" w:cs="David" w:hint="cs"/>
          <w:sz w:val="24"/>
          <w:szCs w:val="24"/>
          <w:rtl/>
        </w:rPr>
        <w:t>עימו</w:t>
      </w:r>
      <w:proofErr w:type="spellEnd"/>
      <w:r w:rsidR="00697BC3">
        <w:rPr>
          <w:rFonts w:ascii="David" w:hAnsi="David" w:cs="David" w:hint="cs"/>
          <w:sz w:val="24"/>
          <w:szCs w:val="24"/>
          <w:rtl/>
        </w:rPr>
        <w:t xml:space="preserve"> ביחסי כפיפות ישירים או עקיפים, עלול להיות נושא לחקירה פלילית או לבירור משמעתי, גם אם מדובר בקשר מוסכם.</w:t>
      </w:r>
    </w:p>
    <w:p w:rsidR="00697BC3" w:rsidRPr="001C7E02" w:rsidRDefault="00697BC3" w:rsidP="00E30969">
      <w:pPr>
        <w:spacing w:after="0" w:line="360" w:lineRule="auto"/>
        <w:jc w:val="both"/>
        <w:rPr>
          <w:rFonts w:ascii="David" w:hAnsi="David" w:cs="David"/>
          <w:sz w:val="24"/>
          <w:szCs w:val="24"/>
          <w:rtl/>
        </w:rPr>
      </w:pPr>
      <w:r>
        <w:rPr>
          <w:rFonts w:ascii="David" w:hAnsi="David" w:cs="David" w:hint="cs"/>
          <w:sz w:val="24"/>
          <w:szCs w:val="24"/>
          <w:rtl/>
        </w:rPr>
        <w:t xml:space="preserve">לאחר </w:t>
      </w:r>
      <w:r w:rsidRPr="001C7E02">
        <w:rPr>
          <w:rFonts w:ascii="David" w:hAnsi="David" w:cs="David"/>
          <w:sz w:val="24"/>
          <w:szCs w:val="24"/>
          <w:rtl/>
        </w:rPr>
        <w:t xml:space="preserve">בחינת </w:t>
      </w:r>
      <w:r>
        <w:rPr>
          <w:rFonts w:ascii="David" w:hAnsi="David" w:cs="David" w:hint="cs"/>
          <w:sz w:val="24"/>
          <w:szCs w:val="24"/>
          <w:rtl/>
        </w:rPr>
        <w:t xml:space="preserve">מהלך </w:t>
      </w:r>
      <w:r w:rsidRPr="001C7E02">
        <w:rPr>
          <w:rFonts w:ascii="David" w:hAnsi="David" w:cs="David"/>
          <w:sz w:val="24"/>
          <w:szCs w:val="24"/>
          <w:rtl/>
        </w:rPr>
        <w:t>החקיר</w:t>
      </w:r>
      <w:r>
        <w:rPr>
          <w:rFonts w:ascii="David" w:hAnsi="David" w:cs="David" w:hint="cs"/>
          <w:sz w:val="24"/>
          <w:szCs w:val="24"/>
          <w:rtl/>
        </w:rPr>
        <w:t>ות</w:t>
      </w:r>
      <w:r w:rsidRPr="001C7E02">
        <w:rPr>
          <w:rFonts w:ascii="David" w:hAnsi="David" w:cs="David"/>
          <w:sz w:val="24"/>
          <w:szCs w:val="24"/>
          <w:rtl/>
        </w:rPr>
        <w:t xml:space="preserve"> </w:t>
      </w:r>
      <w:r>
        <w:rPr>
          <w:rFonts w:ascii="David" w:hAnsi="David" w:cs="David" w:hint="cs"/>
          <w:sz w:val="24"/>
          <w:szCs w:val="24"/>
          <w:rtl/>
        </w:rPr>
        <w:t xml:space="preserve">ונוכח </w:t>
      </w:r>
      <w:r w:rsidRPr="001C7E02">
        <w:rPr>
          <w:rFonts w:ascii="David" w:hAnsi="David" w:cs="David"/>
          <w:sz w:val="24"/>
          <w:szCs w:val="24"/>
          <w:rtl/>
        </w:rPr>
        <w:t xml:space="preserve">עדותה של כל אחת מהתובעות, בנסיבות הייחודיות לה, כי הקשר המיני היה בהסכמה, </w:t>
      </w:r>
      <w:r>
        <w:rPr>
          <w:rFonts w:ascii="David" w:hAnsi="David" w:cs="David" w:hint="cs"/>
          <w:sz w:val="24"/>
          <w:szCs w:val="24"/>
          <w:rtl/>
        </w:rPr>
        <w:t>נקבע</w:t>
      </w:r>
      <w:r w:rsidRPr="001C7E02">
        <w:rPr>
          <w:rFonts w:ascii="David" w:hAnsi="David" w:cs="David"/>
          <w:sz w:val="24"/>
          <w:szCs w:val="24"/>
          <w:rtl/>
        </w:rPr>
        <w:t xml:space="preserve"> כי לא </w:t>
      </w:r>
      <w:r w:rsidRPr="001C7E02">
        <w:rPr>
          <w:rFonts w:ascii="David" w:hAnsi="David" w:cs="David" w:hint="cs"/>
          <w:sz w:val="24"/>
          <w:szCs w:val="24"/>
          <w:rtl/>
        </w:rPr>
        <w:t>היית</w:t>
      </w:r>
      <w:r w:rsidRPr="001C7E02">
        <w:rPr>
          <w:rFonts w:ascii="David" w:hAnsi="David" w:cs="David" w:hint="eastAsia"/>
          <w:sz w:val="24"/>
          <w:szCs w:val="24"/>
          <w:rtl/>
        </w:rPr>
        <w:t>ה</w:t>
      </w:r>
      <w:r w:rsidRPr="001C7E02">
        <w:rPr>
          <w:rFonts w:ascii="David" w:hAnsi="David" w:cs="David"/>
          <w:sz w:val="24"/>
          <w:szCs w:val="24"/>
          <w:rtl/>
        </w:rPr>
        <w:t xml:space="preserve"> הצדקה לחקירה שכללה שאלות </w:t>
      </w:r>
      <w:r w:rsidR="00E30969">
        <w:rPr>
          <w:rFonts w:ascii="David" w:hAnsi="David" w:cs="David" w:hint="cs"/>
          <w:sz w:val="24"/>
          <w:szCs w:val="24"/>
          <w:rtl/>
        </w:rPr>
        <w:t xml:space="preserve">בוטות </w:t>
      </w:r>
      <w:r w:rsidRPr="001C7E02">
        <w:rPr>
          <w:rFonts w:ascii="David" w:hAnsi="David" w:cs="David"/>
          <w:sz w:val="24"/>
          <w:szCs w:val="24"/>
          <w:rtl/>
        </w:rPr>
        <w:t xml:space="preserve"> ומשפילות לרבות ירידה לפרטי</w:t>
      </w:r>
      <w:r>
        <w:rPr>
          <w:rFonts w:ascii="David" w:hAnsi="David" w:cs="David"/>
          <w:sz w:val="24"/>
          <w:szCs w:val="24"/>
          <w:rtl/>
        </w:rPr>
        <w:t xml:space="preserve"> פרטים ותיאורים פלסטיים של המעש</w:t>
      </w:r>
      <w:r>
        <w:rPr>
          <w:rFonts w:ascii="David" w:hAnsi="David" w:cs="David" w:hint="cs"/>
          <w:sz w:val="24"/>
          <w:szCs w:val="24"/>
          <w:rtl/>
        </w:rPr>
        <w:t>ים</w:t>
      </w:r>
      <w:r w:rsidRPr="001C7E02">
        <w:rPr>
          <w:rFonts w:ascii="David" w:hAnsi="David" w:cs="David"/>
          <w:sz w:val="24"/>
          <w:szCs w:val="24"/>
          <w:rtl/>
        </w:rPr>
        <w:t xml:space="preserve"> המיני</w:t>
      </w:r>
      <w:r>
        <w:rPr>
          <w:rFonts w:ascii="David" w:hAnsi="David" w:cs="David" w:hint="cs"/>
          <w:sz w:val="24"/>
          <w:szCs w:val="24"/>
          <w:rtl/>
        </w:rPr>
        <w:t>ים</w:t>
      </w:r>
      <w:r w:rsidRPr="001C7E02">
        <w:rPr>
          <w:rFonts w:ascii="David" w:hAnsi="David" w:cs="David"/>
          <w:sz w:val="24"/>
          <w:szCs w:val="24"/>
          <w:rtl/>
        </w:rPr>
        <w:t>. מיצוי החקירה לרבות בירור שאלת ההסכמה</w:t>
      </w:r>
      <w:r>
        <w:rPr>
          <w:rFonts w:ascii="David" w:hAnsi="David" w:cs="David" w:hint="cs"/>
          <w:sz w:val="24"/>
          <w:szCs w:val="24"/>
          <w:rtl/>
        </w:rPr>
        <w:t xml:space="preserve"> לקיום הקשר המיני</w:t>
      </w:r>
      <w:r w:rsidRPr="001C7E02">
        <w:rPr>
          <w:rFonts w:ascii="David" w:hAnsi="David" w:cs="David"/>
          <w:sz w:val="24"/>
          <w:szCs w:val="24"/>
          <w:rtl/>
        </w:rPr>
        <w:t xml:space="preserve">, יכולים וצריכים היו להיעשות בצורה מכבדת ומכובדת, ללא </w:t>
      </w:r>
      <w:r w:rsidRPr="001C7E02">
        <w:rPr>
          <w:rFonts w:ascii="David" w:hAnsi="David" w:cs="David"/>
          <w:sz w:val="24"/>
          <w:szCs w:val="24"/>
          <w:rtl/>
        </w:rPr>
        <w:lastRenderedPageBreak/>
        <w:t>הפעלת לחץ בדרך של שאלות בוטות ופולשניות, איום במעבר לחקירה באזהרה, או רמיזות בדבר סיכון מקום עבודתן של התובעות. בהקשר זה, התנהלותם של החוקרים מהווה סטייה מסטנדרט הזהירות הסביר שמצופה מרשויות החקירה ש</w:t>
      </w:r>
      <w:r w:rsidR="003372A6">
        <w:rPr>
          <w:rFonts w:ascii="David" w:hAnsi="David" w:cs="David" w:hint="cs"/>
          <w:sz w:val="24"/>
          <w:szCs w:val="24"/>
          <w:rtl/>
        </w:rPr>
        <w:t>הי</w:t>
      </w:r>
      <w:r w:rsidR="008F1CB3">
        <w:rPr>
          <w:rFonts w:ascii="David" w:hAnsi="David" w:cs="David" w:hint="cs"/>
          <w:sz w:val="24"/>
          <w:szCs w:val="24"/>
          <w:rtl/>
        </w:rPr>
        <w:t>י</w:t>
      </w:r>
      <w:bookmarkStart w:id="0" w:name="_GoBack"/>
      <w:bookmarkEnd w:id="0"/>
      <w:r w:rsidR="003372A6">
        <w:rPr>
          <w:rFonts w:ascii="David" w:hAnsi="David" w:cs="David" w:hint="cs"/>
          <w:sz w:val="24"/>
          <w:szCs w:val="24"/>
          <w:rtl/>
        </w:rPr>
        <w:t xml:space="preserve">תה </w:t>
      </w:r>
      <w:r>
        <w:rPr>
          <w:rFonts w:ascii="David" w:hAnsi="David" w:cs="David" w:hint="cs"/>
          <w:sz w:val="24"/>
          <w:szCs w:val="24"/>
          <w:rtl/>
        </w:rPr>
        <w:t xml:space="preserve">מוטלת עליהן חובה </w:t>
      </w:r>
      <w:r w:rsidRPr="001C7E02">
        <w:rPr>
          <w:rFonts w:ascii="David" w:hAnsi="David" w:cs="David"/>
          <w:sz w:val="24"/>
          <w:szCs w:val="24"/>
          <w:rtl/>
        </w:rPr>
        <w:t>ל</w:t>
      </w:r>
      <w:r>
        <w:rPr>
          <w:rFonts w:ascii="David" w:hAnsi="David" w:cs="David" w:hint="cs"/>
          <w:sz w:val="24"/>
          <w:szCs w:val="24"/>
          <w:rtl/>
        </w:rPr>
        <w:t xml:space="preserve">הגן </w:t>
      </w:r>
      <w:r w:rsidRPr="001C7E02">
        <w:rPr>
          <w:rFonts w:ascii="David" w:hAnsi="David" w:cs="David"/>
          <w:sz w:val="24"/>
          <w:szCs w:val="24"/>
          <w:rtl/>
        </w:rPr>
        <w:t>על זכויותיהן של התובעות שנחקרו כעדות מפני פגיעה לא מידתית בכבודן ובפרטיותן</w:t>
      </w:r>
      <w:r>
        <w:rPr>
          <w:rFonts w:ascii="David" w:hAnsi="David" w:cs="David" w:hint="cs"/>
          <w:sz w:val="24"/>
          <w:szCs w:val="24"/>
          <w:rtl/>
        </w:rPr>
        <w:t xml:space="preserve">. בנסיבות אלה, </w:t>
      </w:r>
      <w:r w:rsidRPr="001C7E02">
        <w:rPr>
          <w:rFonts w:ascii="David" w:hAnsi="David" w:cs="David"/>
          <w:sz w:val="24"/>
          <w:szCs w:val="24"/>
          <w:rtl/>
        </w:rPr>
        <w:t>קמה ל</w:t>
      </w:r>
      <w:r>
        <w:rPr>
          <w:rFonts w:ascii="David" w:hAnsi="David" w:cs="David" w:hint="cs"/>
          <w:sz w:val="24"/>
          <w:szCs w:val="24"/>
          <w:rtl/>
        </w:rPr>
        <w:t xml:space="preserve">תובעות </w:t>
      </w:r>
      <w:r w:rsidRPr="001C7E02">
        <w:rPr>
          <w:rFonts w:ascii="David" w:hAnsi="David" w:cs="David"/>
          <w:sz w:val="24"/>
          <w:szCs w:val="24"/>
          <w:rtl/>
        </w:rPr>
        <w:t xml:space="preserve">עילת תביעה מכוח עוולת הרשלנות, בגין הנזק שנגרם להן בשל אותן שאלות ואמירות מיותרות ופוגעניות שלא נדרשו באופן סביר לחקירה.  </w:t>
      </w:r>
    </w:p>
    <w:p w:rsidR="00697BC3" w:rsidRDefault="00697BC3" w:rsidP="00697BC3">
      <w:pPr>
        <w:spacing w:after="0" w:line="360" w:lineRule="auto"/>
        <w:jc w:val="both"/>
        <w:rPr>
          <w:rFonts w:ascii="David" w:hAnsi="David" w:cs="David"/>
          <w:sz w:val="24"/>
          <w:szCs w:val="24"/>
          <w:rtl/>
        </w:rPr>
      </w:pPr>
      <w:r>
        <w:rPr>
          <w:rFonts w:ascii="David" w:hAnsi="David" w:cs="David" w:hint="cs"/>
          <w:sz w:val="24"/>
          <w:szCs w:val="24"/>
          <w:rtl/>
        </w:rPr>
        <w:t xml:space="preserve">עוד נקבע כי נוכח העובדה שבתחילת חקירתה של </w:t>
      </w:r>
      <w:r w:rsidRPr="001C7E02">
        <w:rPr>
          <w:rFonts w:ascii="David" w:hAnsi="David" w:cs="David"/>
          <w:sz w:val="24"/>
          <w:szCs w:val="24"/>
          <w:rtl/>
        </w:rPr>
        <w:t xml:space="preserve">התובעת 1 </w:t>
      </w:r>
      <w:r>
        <w:rPr>
          <w:rFonts w:ascii="David" w:hAnsi="David" w:cs="David" w:hint="cs"/>
          <w:sz w:val="24"/>
          <w:szCs w:val="24"/>
          <w:rtl/>
        </w:rPr>
        <w:t>היית</w:t>
      </w:r>
      <w:r>
        <w:rPr>
          <w:rFonts w:ascii="David" w:hAnsi="David" w:cs="David" w:hint="eastAsia"/>
          <w:sz w:val="24"/>
          <w:szCs w:val="24"/>
          <w:rtl/>
        </w:rPr>
        <w:t>ה</w:t>
      </w:r>
      <w:r>
        <w:rPr>
          <w:rFonts w:ascii="David" w:hAnsi="David" w:cs="David" w:hint="cs"/>
          <w:sz w:val="24"/>
          <w:szCs w:val="24"/>
          <w:rtl/>
        </w:rPr>
        <w:t xml:space="preserve"> אפשרות שהיא נפגעת עבירת מין והיא </w:t>
      </w:r>
      <w:r w:rsidRPr="001C7E02">
        <w:rPr>
          <w:rFonts w:ascii="David" w:hAnsi="David" w:cs="David"/>
          <w:sz w:val="24"/>
          <w:szCs w:val="24"/>
          <w:rtl/>
        </w:rPr>
        <w:t>נחקרה לבירור חשד שבוצעה כלפיה עבירת מין</w:t>
      </w:r>
      <w:r>
        <w:rPr>
          <w:rFonts w:ascii="David" w:hAnsi="David" w:cs="David" w:hint="cs"/>
          <w:sz w:val="24"/>
          <w:szCs w:val="24"/>
          <w:rtl/>
        </w:rPr>
        <w:t>,</w:t>
      </w:r>
      <w:r w:rsidRPr="001C7E02">
        <w:rPr>
          <w:rFonts w:ascii="David" w:hAnsi="David" w:cs="David"/>
          <w:sz w:val="24"/>
          <w:szCs w:val="24"/>
          <w:rtl/>
        </w:rPr>
        <w:t xml:space="preserve"> היה מקום </w:t>
      </w:r>
      <w:r>
        <w:rPr>
          <w:rFonts w:ascii="David" w:hAnsi="David" w:cs="David" w:hint="cs"/>
          <w:sz w:val="24"/>
          <w:szCs w:val="24"/>
          <w:rtl/>
        </w:rPr>
        <w:t xml:space="preserve">ליידע אותה בדבר </w:t>
      </w:r>
      <w:r w:rsidRPr="001C7E02">
        <w:rPr>
          <w:rFonts w:ascii="David" w:hAnsi="David" w:cs="David"/>
          <w:sz w:val="24"/>
          <w:szCs w:val="24"/>
          <w:rtl/>
        </w:rPr>
        <w:t>הזכות הקבועה בסעיף 14 לחוק זכויות נפגעי עבירה, להיות מלווה בחקירה על ידי אדם אחר לפי בחירתה, זאת אלא אם הקצין הממונה ששקל את הדברים בזמן אמת, היה סבור שיש בכך כדי לפגוע בחקירה - מה שלא נעשה בענייננו.</w:t>
      </w:r>
    </w:p>
    <w:p w:rsidR="00697BC3" w:rsidRDefault="00697BC3" w:rsidP="00C676DD">
      <w:pPr>
        <w:spacing w:after="0" w:line="360" w:lineRule="auto"/>
        <w:jc w:val="both"/>
        <w:rPr>
          <w:rFonts w:ascii="David" w:hAnsi="David" w:cs="David"/>
          <w:sz w:val="24"/>
          <w:szCs w:val="24"/>
          <w:rtl/>
        </w:rPr>
      </w:pPr>
      <w:r>
        <w:rPr>
          <w:rFonts w:ascii="David" w:hAnsi="David" w:cs="David" w:hint="cs"/>
          <w:sz w:val="24"/>
          <w:szCs w:val="24"/>
          <w:rtl/>
        </w:rPr>
        <w:t xml:space="preserve">טענתן של התובעות כי </w:t>
      </w:r>
      <w:r w:rsidRPr="001C7E02">
        <w:rPr>
          <w:rFonts w:ascii="David" w:hAnsi="David" w:cs="David"/>
          <w:sz w:val="24"/>
          <w:szCs w:val="24"/>
          <w:rtl/>
        </w:rPr>
        <w:t xml:space="preserve">התנהלות החוקרים מקימה להן עילת תביעה מכוח </w:t>
      </w:r>
      <w:r w:rsidR="00E30969">
        <w:rPr>
          <w:rFonts w:ascii="David" w:hAnsi="David" w:cs="David" w:hint="cs"/>
          <w:sz w:val="24"/>
          <w:szCs w:val="24"/>
          <w:rtl/>
        </w:rPr>
        <w:t xml:space="preserve">החוק </w:t>
      </w:r>
      <w:r w:rsidRPr="001C7E02">
        <w:rPr>
          <w:rFonts w:ascii="David" w:hAnsi="David" w:cs="David"/>
          <w:sz w:val="24"/>
          <w:szCs w:val="24"/>
          <w:rtl/>
        </w:rPr>
        <w:t xml:space="preserve"> למניעת הטרדה מינית</w:t>
      </w:r>
      <w:r w:rsidR="00E30969">
        <w:rPr>
          <w:rFonts w:ascii="David" w:hAnsi="David" w:cs="David" w:hint="cs"/>
          <w:sz w:val="24"/>
          <w:szCs w:val="24"/>
          <w:rtl/>
        </w:rPr>
        <w:t>,</w:t>
      </w:r>
      <w:r>
        <w:rPr>
          <w:rFonts w:ascii="David" w:hAnsi="David" w:cs="David" w:hint="cs"/>
          <w:sz w:val="24"/>
          <w:szCs w:val="24"/>
          <w:rtl/>
        </w:rPr>
        <w:t xml:space="preserve"> נדחתה. נקבע כי יש לבחון את </w:t>
      </w:r>
      <w:r w:rsidRPr="001C7E02">
        <w:rPr>
          <w:rFonts w:ascii="David" w:hAnsi="David" w:cs="David"/>
          <w:sz w:val="24"/>
          <w:szCs w:val="24"/>
          <w:rtl/>
        </w:rPr>
        <w:t xml:space="preserve">הדברים בהתחשב במכלול </w:t>
      </w:r>
      <w:r>
        <w:rPr>
          <w:rFonts w:ascii="David" w:hAnsi="David" w:cs="David" w:hint="cs"/>
          <w:sz w:val="24"/>
          <w:szCs w:val="24"/>
          <w:rtl/>
        </w:rPr>
        <w:t>ה</w:t>
      </w:r>
      <w:r w:rsidRPr="001C7E02">
        <w:rPr>
          <w:rFonts w:ascii="David" w:hAnsi="David" w:cs="David"/>
          <w:sz w:val="24"/>
          <w:szCs w:val="24"/>
          <w:rtl/>
        </w:rPr>
        <w:t>נסיבות</w:t>
      </w:r>
      <w:r w:rsidR="003372A6">
        <w:rPr>
          <w:rFonts w:ascii="David" w:hAnsi="David" w:cs="David" w:hint="cs"/>
          <w:sz w:val="24"/>
          <w:szCs w:val="24"/>
          <w:rtl/>
        </w:rPr>
        <w:t>.</w:t>
      </w:r>
      <w:r>
        <w:rPr>
          <w:rFonts w:ascii="David" w:hAnsi="David" w:cs="David" w:hint="cs"/>
          <w:sz w:val="24"/>
          <w:szCs w:val="24"/>
          <w:rtl/>
        </w:rPr>
        <w:t xml:space="preserve"> מדובר בחקירה </w:t>
      </w:r>
      <w:r w:rsidRPr="001C7E02">
        <w:rPr>
          <w:rFonts w:ascii="David" w:hAnsi="David" w:cs="David"/>
          <w:sz w:val="24"/>
          <w:szCs w:val="24"/>
          <w:rtl/>
        </w:rPr>
        <w:t>שהתמקדה בשאלת קיום קשרים מיניים</w:t>
      </w:r>
      <w:r w:rsidR="00E30969">
        <w:rPr>
          <w:rFonts w:ascii="David" w:hAnsi="David" w:cs="David" w:hint="cs"/>
          <w:sz w:val="24"/>
          <w:szCs w:val="24"/>
          <w:rtl/>
        </w:rPr>
        <w:t xml:space="preserve">. חקירה </w:t>
      </w:r>
      <w:r w:rsidRPr="001C7E02">
        <w:rPr>
          <w:rFonts w:ascii="David" w:hAnsi="David" w:cs="David"/>
          <w:sz w:val="24"/>
          <w:szCs w:val="24"/>
          <w:rtl/>
        </w:rPr>
        <w:t>מסוג זה כרוכה מעצם טיבה בפגיעה בפרטיות ובשאלות שנוגעות לקשר המיני בכלל ולשאלת ההסכמה</w:t>
      </w:r>
      <w:r>
        <w:rPr>
          <w:rFonts w:ascii="David" w:hAnsi="David" w:cs="David" w:hint="cs"/>
          <w:sz w:val="24"/>
          <w:szCs w:val="24"/>
          <w:rtl/>
        </w:rPr>
        <w:t xml:space="preserve"> לקשר המיני</w:t>
      </w:r>
      <w:r w:rsidRPr="001C7E02">
        <w:rPr>
          <w:rFonts w:ascii="David" w:hAnsi="David" w:cs="David"/>
          <w:sz w:val="24"/>
          <w:szCs w:val="24"/>
          <w:rtl/>
        </w:rPr>
        <w:t xml:space="preserve"> בפרט. כאשר זהו הקשר הדברים, גם אם נקבע </w:t>
      </w:r>
      <w:r w:rsidR="00E30969">
        <w:rPr>
          <w:rFonts w:ascii="David" w:hAnsi="David" w:cs="David" w:hint="cs"/>
          <w:sz w:val="24"/>
          <w:szCs w:val="24"/>
          <w:rtl/>
        </w:rPr>
        <w:t xml:space="preserve">כי  </w:t>
      </w:r>
      <w:r w:rsidRPr="001C7E02">
        <w:rPr>
          <w:rFonts w:ascii="David" w:hAnsi="David" w:cs="David"/>
          <w:sz w:val="24"/>
          <w:szCs w:val="24"/>
          <w:rtl/>
        </w:rPr>
        <w:t xml:space="preserve">שאלות </w:t>
      </w:r>
      <w:r w:rsidR="00C676DD">
        <w:rPr>
          <w:rFonts w:ascii="David" w:hAnsi="David" w:cs="David" w:hint="cs"/>
          <w:sz w:val="24"/>
          <w:szCs w:val="24"/>
          <w:rtl/>
        </w:rPr>
        <w:t>מסוימות ח</w:t>
      </w:r>
      <w:r w:rsidRPr="001C7E02">
        <w:rPr>
          <w:rFonts w:ascii="David" w:hAnsi="David" w:cs="David"/>
          <w:sz w:val="24"/>
          <w:szCs w:val="24"/>
          <w:rtl/>
        </w:rPr>
        <w:t xml:space="preserve">רגו מגדר הסביר והנדרש לצרכי החקירה, הדברים </w:t>
      </w:r>
      <w:r>
        <w:rPr>
          <w:rFonts w:ascii="David" w:hAnsi="David" w:cs="David" w:hint="cs"/>
          <w:sz w:val="24"/>
          <w:szCs w:val="24"/>
          <w:rtl/>
        </w:rPr>
        <w:t xml:space="preserve">אינם </w:t>
      </w:r>
      <w:r w:rsidRPr="001C7E02">
        <w:rPr>
          <w:rFonts w:ascii="David" w:hAnsi="David" w:cs="David"/>
          <w:sz w:val="24"/>
          <w:szCs w:val="24"/>
          <w:rtl/>
        </w:rPr>
        <w:t xml:space="preserve">עולים כדי הטרדה מינית כמשמעה בחוק למניעת הטרדה מינית. </w:t>
      </w:r>
    </w:p>
    <w:p w:rsidR="00697BC3" w:rsidRPr="001C7E02" w:rsidRDefault="003372A6" w:rsidP="003372A6">
      <w:pPr>
        <w:spacing w:after="0" w:line="360" w:lineRule="auto"/>
        <w:jc w:val="both"/>
        <w:rPr>
          <w:rFonts w:ascii="David" w:hAnsi="David" w:cs="David"/>
          <w:sz w:val="24"/>
          <w:szCs w:val="24"/>
          <w:rtl/>
        </w:rPr>
      </w:pPr>
      <w:r>
        <w:rPr>
          <w:rFonts w:ascii="David" w:hAnsi="David" w:cs="David" w:hint="cs"/>
          <w:sz w:val="24"/>
          <w:szCs w:val="24"/>
          <w:rtl/>
        </w:rPr>
        <w:t xml:space="preserve">עוד נקבע כי </w:t>
      </w:r>
      <w:r w:rsidR="00697BC3">
        <w:rPr>
          <w:rFonts w:ascii="David" w:hAnsi="David" w:cs="David" w:hint="cs"/>
          <w:sz w:val="24"/>
          <w:szCs w:val="24"/>
          <w:rtl/>
        </w:rPr>
        <w:t>בפסיקת הפיצויים בגין עגמת הנפש והנזק הלא ממוני שנגרם לכל אחת מהתובעות</w:t>
      </w:r>
      <w:r>
        <w:rPr>
          <w:rFonts w:ascii="David" w:hAnsi="David" w:cs="David" w:hint="cs"/>
          <w:sz w:val="24"/>
          <w:szCs w:val="24"/>
          <w:rtl/>
        </w:rPr>
        <w:t>,</w:t>
      </w:r>
      <w:r w:rsidR="00697BC3">
        <w:rPr>
          <w:rFonts w:ascii="David" w:hAnsi="David" w:cs="David" w:hint="cs"/>
          <w:sz w:val="24"/>
          <w:szCs w:val="24"/>
          <w:rtl/>
        </w:rPr>
        <w:t xml:space="preserve"> יש </w:t>
      </w:r>
      <w:r w:rsidR="00697BC3" w:rsidRPr="001C7E02">
        <w:rPr>
          <w:rFonts w:ascii="David" w:hAnsi="David" w:cs="David"/>
          <w:sz w:val="24"/>
          <w:szCs w:val="24"/>
          <w:rtl/>
        </w:rPr>
        <w:t>להתחשב בכך שמטבע הדברים מדובר בחקירה מביכה שכרוכה בפגיעה בפרטיות</w:t>
      </w:r>
      <w:r>
        <w:rPr>
          <w:rFonts w:ascii="David" w:hAnsi="David" w:cs="David" w:hint="cs"/>
          <w:sz w:val="24"/>
          <w:szCs w:val="24"/>
          <w:rtl/>
        </w:rPr>
        <w:t>.</w:t>
      </w:r>
      <w:r w:rsidR="00697BC3" w:rsidRPr="001C7E02">
        <w:rPr>
          <w:rFonts w:ascii="David" w:hAnsi="David" w:cs="David"/>
          <w:sz w:val="24"/>
          <w:szCs w:val="24"/>
          <w:rtl/>
        </w:rPr>
        <w:t xml:space="preserve"> פסיקת הפיצויים מתייחסת אם כן רק לעגמת הנפש היתרה שנגרמה </w:t>
      </w:r>
      <w:r w:rsidR="00697BC3">
        <w:rPr>
          <w:rFonts w:ascii="David" w:hAnsi="David" w:cs="David" w:hint="cs"/>
          <w:sz w:val="24"/>
          <w:szCs w:val="24"/>
          <w:rtl/>
        </w:rPr>
        <w:t xml:space="preserve">לתובעות </w:t>
      </w:r>
      <w:r w:rsidR="00697BC3" w:rsidRPr="001C7E02">
        <w:rPr>
          <w:rFonts w:ascii="David" w:hAnsi="David" w:cs="David"/>
          <w:sz w:val="24"/>
          <w:szCs w:val="24"/>
          <w:rtl/>
        </w:rPr>
        <w:t xml:space="preserve">בשל הפגיעה בכבודן ובפרטיותן </w:t>
      </w:r>
      <w:r w:rsidR="00697BC3">
        <w:rPr>
          <w:rFonts w:ascii="David" w:hAnsi="David" w:cs="David" w:hint="cs"/>
          <w:sz w:val="24"/>
          <w:szCs w:val="24"/>
          <w:rtl/>
        </w:rPr>
        <w:t>בגין ה</w:t>
      </w:r>
      <w:r w:rsidR="00697BC3" w:rsidRPr="001C7E02">
        <w:rPr>
          <w:rFonts w:ascii="David" w:hAnsi="David" w:cs="David"/>
          <w:sz w:val="24"/>
          <w:szCs w:val="24"/>
          <w:rtl/>
        </w:rPr>
        <w:t xml:space="preserve">שאלות </w:t>
      </w:r>
      <w:r w:rsidR="00697BC3">
        <w:rPr>
          <w:rFonts w:ascii="David" w:hAnsi="David" w:cs="David" w:hint="cs"/>
          <w:sz w:val="24"/>
          <w:szCs w:val="24"/>
          <w:rtl/>
        </w:rPr>
        <w:t>ה</w:t>
      </w:r>
      <w:r w:rsidR="00697BC3" w:rsidRPr="001C7E02">
        <w:rPr>
          <w:rFonts w:ascii="David" w:hAnsi="David" w:cs="David"/>
          <w:sz w:val="24"/>
          <w:szCs w:val="24"/>
          <w:rtl/>
        </w:rPr>
        <w:t>מיותרות שלא נדרשו באורח סביר למטרות החקירה, להבדיל מעגמת הנפש הכרוכה באופן טבעי בחקירה מסוג זה</w:t>
      </w:r>
      <w:r w:rsidR="00697BC3">
        <w:rPr>
          <w:rFonts w:ascii="David" w:hAnsi="David" w:cs="David" w:hint="cs"/>
          <w:sz w:val="24"/>
          <w:szCs w:val="24"/>
          <w:rtl/>
        </w:rPr>
        <w:t>. כן יש להתחשב ב</w:t>
      </w:r>
      <w:r w:rsidR="00697BC3" w:rsidRPr="001C7E02">
        <w:rPr>
          <w:rFonts w:ascii="David" w:hAnsi="David" w:cs="David"/>
          <w:sz w:val="24"/>
          <w:szCs w:val="24"/>
          <w:rtl/>
        </w:rPr>
        <w:t xml:space="preserve">התנהלותה של כל אחת מהתובעות </w:t>
      </w:r>
      <w:r w:rsidR="00697BC3">
        <w:rPr>
          <w:rFonts w:ascii="David" w:hAnsi="David" w:cs="David" w:hint="cs"/>
          <w:sz w:val="24"/>
          <w:szCs w:val="24"/>
          <w:rtl/>
        </w:rPr>
        <w:t xml:space="preserve">ושיתוף הפעולה שלה </w:t>
      </w:r>
      <w:r w:rsidR="00697BC3" w:rsidRPr="001C7E02">
        <w:rPr>
          <w:rFonts w:ascii="David" w:hAnsi="David" w:cs="David"/>
          <w:sz w:val="24"/>
          <w:szCs w:val="24"/>
          <w:rtl/>
        </w:rPr>
        <w:t>בחקירה ו</w:t>
      </w:r>
      <w:r w:rsidR="00697BC3">
        <w:rPr>
          <w:rFonts w:ascii="David" w:hAnsi="David" w:cs="David" w:hint="cs"/>
          <w:sz w:val="24"/>
          <w:szCs w:val="24"/>
          <w:rtl/>
        </w:rPr>
        <w:t>ב</w:t>
      </w:r>
      <w:r w:rsidR="00697BC3" w:rsidRPr="001C7E02">
        <w:rPr>
          <w:rFonts w:ascii="David" w:hAnsi="David" w:cs="David"/>
          <w:sz w:val="24"/>
          <w:szCs w:val="24"/>
          <w:rtl/>
        </w:rPr>
        <w:t xml:space="preserve">עוצמת הפגיעה </w:t>
      </w:r>
      <w:r w:rsidR="00697BC3">
        <w:rPr>
          <w:rFonts w:ascii="David" w:hAnsi="David" w:cs="David" w:hint="cs"/>
          <w:sz w:val="24"/>
          <w:szCs w:val="24"/>
          <w:rtl/>
        </w:rPr>
        <w:t xml:space="preserve">נוכח </w:t>
      </w:r>
      <w:r>
        <w:rPr>
          <w:rFonts w:ascii="David" w:hAnsi="David" w:cs="David" w:hint="cs"/>
          <w:sz w:val="24"/>
          <w:szCs w:val="24"/>
          <w:rtl/>
        </w:rPr>
        <w:t xml:space="preserve">תוכנן </w:t>
      </w:r>
      <w:r w:rsidR="00697BC3" w:rsidRPr="001C7E02">
        <w:rPr>
          <w:rFonts w:ascii="David" w:hAnsi="David" w:cs="David"/>
          <w:sz w:val="24"/>
          <w:szCs w:val="24"/>
          <w:rtl/>
        </w:rPr>
        <w:t>והיקפן של השאלות המיותרות שנשאלו בחקירה.</w:t>
      </w:r>
    </w:p>
    <w:p w:rsidR="00697BC3" w:rsidRDefault="00697BC3" w:rsidP="00E30969">
      <w:pPr>
        <w:spacing w:after="0" w:line="360" w:lineRule="auto"/>
        <w:jc w:val="both"/>
        <w:rPr>
          <w:rFonts w:ascii="David" w:hAnsi="David" w:cs="David"/>
          <w:sz w:val="24"/>
          <w:szCs w:val="24"/>
          <w:rtl/>
        </w:rPr>
      </w:pPr>
      <w:r>
        <w:rPr>
          <w:rFonts w:ascii="David" w:hAnsi="David" w:cs="David" w:hint="cs"/>
          <w:sz w:val="24"/>
          <w:szCs w:val="24"/>
          <w:rtl/>
        </w:rPr>
        <w:t xml:space="preserve">לגבי התובעת </w:t>
      </w:r>
      <w:r w:rsidRPr="001C7E02">
        <w:rPr>
          <w:rFonts w:ascii="David" w:hAnsi="David" w:cs="David"/>
          <w:sz w:val="24"/>
          <w:szCs w:val="24"/>
          <w:rtl/>
        </w:rPr>
        <w:t xml:space="preserve">1 </w:t>
      </w:r>
      <w:r>
        <w:rPr>
          <w:rFonts w:ascii="David" w:hAnsi="David" w:cs="David" w:hint="cs"/>
          <w:sz w:val="24"/>
          <w:szCs w:val="24"/>
          <w:rtl/>
        </w:rPr>
        <w:t xml:space="preserve">נקבע כי היא </w:t>
      </w:r>
      <w:r w:rsidRPr="001C7E02">
        <w:rPr>
          <w:rFonts w:ascii="David" w:hAnsi="David" w:cs="David"/>
          <w:sz w:val="24"/>
          <w:szCs w:val="24"/>
          <w:rtl/>
        </w:rPr>
        <w:t xml:space="preserve">לא שיתפה פעולה עם החקירה וניסתה להסתיר את הקשר המיני שהיה בינה לבין שחם, שאותו הגדירה בתחילת החקירה כקשר חברי גרידא, זאת בניגוד לחובתה לומר אמת ולשתף פעולה עם חקירת מח"ש. התנהלותה זו תרמה במידה רבה להארכת משך החקירה. עם זאת, לא </w:t>
      </w:r>
      <w:r w:rsidRPr="001C7E02">
        <w:rPr>
          <w:rFonts w:ascii="David" w:hAnsi="David" w:cs="David" w:hint="cs"/>
          <w:sz w:val="24"/>
          <w:szCs w:val="24"/>
          <w:rtl/>
        </w:rPr>
        <w:t>היית</w:t>
      </w:r>
      <w:r w:rsidRPr="001C7E02">
        <w:rPr>
          <w:rFonts w:ascii="David" w:hAnsi="David" w:cs="David" w:hint="eastAsia"/>
          <w:sz w:val="24"/>
          <w:szCs w:val="24"/>
          <w:rtl/>
        </w:rPr>
        <w:t>ה</w:t>
      </w:r>
      <w:r w:rsidRPr="001C7E02">
        <w:rPr>
          <w:rFonts w:ascii="David" w:hAnsi="David" w:cs="David"/>
          <w:sz w:val="24"/>
          <w:szCs w:val="24"/>
          <w:rtl/>
        </w:rPr>
        <w:t xml:space="preserve"> הצדקה לשאלות </w:t>
      </w:r>
      <w:r w:rsidR="003372A6">
        <w:rPr>
          <w:rFonts w:ascii="David" w:hAnsi="David" w:cs="David" w:hint="cs"/>
          <w:sz w:val="24"/>
          <w:szCs w:val="24"/>
          <w:rtl/>
        </w:rPr>
        <w:t xml:space="preserve">שעניינן </w:t>
      </w:r>
      <w:r w:rsidRPr="001C7E02">
        <w:rPr>
          <w:rFonts w:ascii="David" w:hAnsi="David" w:cs="David"/>
          <w:sz w:val="24"/>
          <w:szCs w:val="24"/>
          <w:rtl/>
        </w:rPr>
        <w:t>ירידה לפרטי פרטים של המעשה המיני</w:t>
      </w:r>
      <w:r w:rsidR="003372A6">
        <w:rPr>
          <w:rFonts w:ascii="David" w:hAnsi="David" w:cs="David" w:hint="cs"/>
          <w:sz w:val="24"/>
          <w:szCs w:val="24"/>
          <w:rtl/>
        </w:rPr>
        <w:t xml:space="preserve">, </w:t>
      </w:r>
      <w:r w:rsidRPr="001C7E02">
        <w:rPr>
          <w:rFonts w:ascii="David" w:hAnsi="David" w:cs="David"/>
          <w:sz w:val="24"/>
          <w:szCs w:val="24"/>
          <w:rtl/>
        </w:rPr>
        <w:t>לאחר שהתובעת הבהירה כי לא נעשה דבר בניגוד להסכמתה. מיצוי החקירה לרבות בירור שאלת ההסכמה, יכולים וצריכים היו להיעשות בצורה מכבדת, ללא הפעלת לחץ בדרך של שאלות בוטות ופוגעני</w:t>
      </w:r>
      <w:r>
        <w:rPr>
          <w:rFonts w:ascii="David" w:hAnsi="David" w:cs="David"/>
          <w:sz w:val="24"/>
          <w:szCs w:val="24"/>
          <w:rtl/>
        </w:rPr>
        <w:t xml:space="preserve">ות, איום במעבר לחקירה באזהרה </w:t>
      </w:r>
      <w:r w:rsidRPr="001C7E02">
        <w:rPr>
          <w:rFonts w:ascii="David" w:hAnsi="David" w:cs="David"/>
          <w:sz w:val="24"/>
          <w:szCs w:val="24"/>
          <w:rtl/>
        </w:rPr>
        <w:t>או רמיזות בדבר סיכון מקום עבודתה של התובעת</w:t>
      </w:r>
      <w:r>
        <w:rPr>
          <w:rFonts w:ascii="David" w:hAnsi="David" w:cs="David" w:hint="cs"/>
          <w:sz w:val="24"/>
          <w:szCs w:val="24"/>
          <w:rtl/>
        </w:rPr>
        <w:t xml:space="preserve">. </w:t>
      </w:r>
      <w:r w:rsidRPr="001C7E02">
        <w:rPr>
          <w:rFonts w:ascii="David" w:hAnsi="David" w:cs="David"/>
          <w:sz w:val="24"/>
          <w:szCs w:val="24"/>
          <w:rtl/>
        </w:rPr>
        <w:t xml:space="preserve">בהתחשב </w:t>
      </w:r>
      <w:r>
        <w:rPr>
          <w:rFonts w:ascii="David" w:hAnsi="David" w:cs="David" w:hint="cs"/>
          <w:sz w:val="24"/>
          <w:szCs w:val="24"/>
          <w:rtl/>
        </w:rPr>
        <w:t>ב</w:t>
      </w:r>
      <w:r w:rsidRPr="001C7E02">
        <w:rPr>
          <w:rFonts w:ascii="David" w:hAnsi="David" w:cs="David"/>
          <w:sz w:val="24"/>
          <w:szCs w:val="24"/>
          <w:rtl/>
        </w:rPr>
        <w:t>היקף השאלות המיותרות ביחס לכלל החקירה</w:t>
      </w:r>
      <w:r>
        <w:rPr>
          <w:rFonts w:ascii="David" w:hAnsi="David" w:cs="David" w:hint="cs"/>
          <w:sz w:val="24"/>
          <w:szCs w:val="24"/>
          <w:rtl/>
        </w:rPr>
        <w:t xml:space="preserve"> שהיית</w:t>
      </w:r>
      <w:r>
        <w:rPr>
          <w:rFonts w:ascii="David" w:hAnsi="David" w:cs="David" w:hint="eastAsia"/>
          <w:sz w:val="24"/>
          <w:szCs w:val="24"/>
          <w:rtl/>
        </w:rPr>
        <w:t>ה</w:t>
      </w:r>
      <w:r>
        <w:rPr>
          <w:rFonts w:ascii="David" w:hAnsi="David" w:cs="David" w:hint="cs"/>
          <w:sz w:val="24"/>
          <w:szCs w:val="24"/>
          <w:rtl/>
        </w:rPr>
        <w:t xml:space="preserve"> מוצדקת ולגיטימית, נפסק לזכות התובעת 1 </w:t>
      </w:r>
      <w:r w:rsidRPr="001C7E02">
        <w:rPr>
          <w:rFonts w:ascii="David" w:hAnsi="David" w:cs="David"/>
          <w:sz w:val="24"/>
          <w:szCs w:val="24"/>
          <w:rtl/>
        </w:rPr>
        <w:t>פיצוי</w:t>
      </w:r>
      <w:r>
        <w:rPr>
          <w:rFonts w:ascii="David" w:hAnsi="David" w:cs="David" w:hint="cs"/>
          <w:sz w:val="24"/>
          <w:szCs w:val="24"/>
          <w:rtl/>
        </w:rPr>
        <w:t xml:space="preserve"> בסכום של 80,000 ₪.</w:t>
      </w:r>
    </w:p>
    <w:p w:rsidR="00697BC3" w:rsidRDefault="00697BC3" w:rsidP="00E30969">
      <w:pPr>
        <w:spacing w:after="0" w:line="360" w:lineRule="auto"/>
        <w:jc w:val="both"/>
        <w:rPr>
          <w:rFonts w:ascii="David" w:hAnsi="David" w:cs="David"/>
          <w:sz w:val="24"/>
          <w:szCs w:val="24"/>
          <w:rtl/>
        </w:rPr>
      </w:pPr>
      <w:r w:rsidRPr="001C7E02">
        <w:rPr>
          <w:rFonts w:ascii="David" w:hAnsi="David" w:cs="David"/>
          <w:sz w:val="24"/>
          <w:szCs w:val="24"/>
          <w:rtl/>
        </w:rPr>
        <w:t>התובעת 2 הבהירה כבר בתחילת חקיר</w:t>
      </w:r>
      <w:r>
        <w:rPr>
          <w:rFonts w:ascii="David" w:hAnsi="David" w:cs="David" w:hint="cs"/>
          <w:sz w:val="24"/>
          <w:szCs w:val="24"/>
          <w:rtl/>
        </w:rPr>
        <w:t>ת</w:t>
      </w:r>
      <w:r w:rsidRPr="001C7E02">
        <w:rPr>
          <w:rFonts w:ascii="David" w:hAnsi="David" w:cs="David"/>
          <w:sz w:val="24"/>
          <w:szCs w:val="24"/>
          <w:rtl/>
        </w:rPr>
        <w:t>ה כי מדובר היה קשר אינטימי - מיני בהסכמה, וחזרה והבהירה בצורה מפורשת שלא נעשה דבר בניגוד לרצונה או שלא בהסכמתה. נוכח עדותה</w:t>
      </w:r>
      <w:r>
        <w:rPr>
          <w:rFonts w:ascii="David" w:hAnsi="David" w:cs="David" w:hint="cs"/>
          <w:sz w:val="24"/>
          <w:szCs w:val="24"/>
          <w:rtl/>
        </w:rPr>
        <w:t xml:space="preserve"> זו, </w:t>
      </w:r>
      <w:r w:rsidRPr="001C7E02">
        <w:rPr>
          <w:rFonts w:ascii="David" w:hAnsi="David" w:cs="David"/>
          <w:sz w:val="24"/>
          <w:szCs w:val="24"/>
          <w:rtl/>
        </w:rPr>
        <w:t xml:space="preserve">השאלות שנשאלו בצורה בוטה ומשפילה אודות פרטי הקשר המיני תוך ירידה לתיאורים </w:t>
      </w:r>
      <w:r>
        <w:rPr>
          <w:rFonts w:ascii="David" w:hAnsi="David" w:cs="David"/>
          <w:sz w:val="24"/>
          <w:szCs w:val="24"/>
          <w:rtl/>
        </w:rPr>
        <w:t xml:space="preserve">פלסטיים מפורטים, </w:t>
      </w:r>
      <w:r w:rsidR="00E30969">
        <w:rPr>
          <w:rFonts w:ascii="David" w:hAnsi="David" w:cs="David" w:hint="cs"/>
          <w:sz w:val="24"/>
          <w:szCs w:val="24"/>
          <w:rtl/>
        </w:rPr>
        <w:t xml:space="preserve">לא נדרשו לצרכי החקירה ולא היה מקום לדרוש מהתובעת להשיב עליהן </w:t>
      </w:r>
      <w:r w:rsidRPr="001C7E02">
        <w:rPr>
          <w:rFonts w:ascii="David" w:hAnsi="David" w:cs="David"/>
          <w:sz w:val="24"/>
          <w:szCs w:val="24"/>
          <w:rtl/>
        </w:rPr>
        <w:t>תוך איומים מפורשים או משתמעים לעבור לחקירה באזהרה או כי התובעת מסכנת את מקום עבודתה.</w:t>
      </w:r>
      <w:r>
        <w:rPr>
          <w:rFonts w:ascii="David" w:hAnsi="David" w:cs="David" w:hint="cs"/>
          <w:sz w:val="24"/>
          <w:szCs w:val="24"/>
          <w:rtl/>
        </w:rPr>
        <w:t xml:space="preserve"> </w:t>
      </w:r>
      <w:r w:rsidRPr="001C7E02">
        <w:rPr>
          <w:rFonts w:ascii="David" w:hAnsi="David" w:cs="David"/>
          <w:sz w:val="24"/>
          <w:szCs w:val="24"/>
          <w:rtl/>
        </w:rPr>
        <w:lastRenderedPageBreak/>
        <w:t>בהתחשב ב</w:t>
      </w:r>
      <w:r>
        <w:rPr>
          <w:rFonts w:ascii="David" w:hAnsi="David" w:cs="David" w:hint="cs"/>
          <w:sz w:val="24"/>
          <w:szCs w:val="24"/>
          <w:rtl/>
        </w:rPr>
        <w:t>היקף ה</w:t>
      </w:r>
      <w:r w:rsidRPr="001C7E02">
        <w:rPr>
          <w:rFonts w:ascii="David" w:hAnsi="David" w:cs="David"/>
          <w:sz w:val="24"/>
          <w:szCs w:val="24"/>
          <w:rtl/>
        </w:rPr>
        <w:t xml:space="preserve">שאלות המיותרות ביחס לכלל החקירה, </w:t>
      </w:r>
      <w:r>
        <w:rPr>
          <w:rFonts w:ascii="David" w:hAnsi="David" w:cs="David" w:hint="cs"/>
          <w:sz w:val="24"/>
          <w:szCs w:val="24"/>
          <w:rtl/>
        </w:rPr>
        <w:t xml:space="preserve">נפסק לזכות התובעת 2 </w:t>
      </w:r>
      <w:r w:rsidRPr="001C7E02">
        <w:rPr>
          <w:rFonts w:ascii="David" w:hAnsi="David" w:cs="David"/>
          <w:sz w:val="24"/>
          <w:szCs w:val="24"/>
          <w:rtl/>
        </w:rPr>
        <w:t xml:space="preserve">פיצוי </w:t>
      </w:r>
      <w:r>
        <w:rPr>
          <w:rFonts w:ascii="David" w:hAnsi="David" w:cs="David" w:hint="cs"/>
          <w:sz w:val="24"/>
          <w:szCs w:val="24"/>
          <w:rtl/>
        </w:rPr>
        <w:t>בסכום של 150,000 ₪</w:t>
      </w:r>
      <w:r w:rsidR="003372A6">
        <w:rPr>
          <w:rFonts w:ascii="David" w:hAnsi="David" w:cs="David" w:hint="cs"/>
          <w:sz w:val="24"/>
          <w:szCs w:val="24"/>
          <w:rtl/>
        </w:rPr>
        <w:t>,</w:t>
      </w:r>
      <w:r>
        <w:rPr>
          <w:rFonts w:ascii="David" w:hAnsi="David" w:cs="David" w:hint="cs"/>
          <w:sz w:val="24"/>
          <w:szCs w:val="24"/>
          <w:rtl/>
        </w:rPr>
        <w:t xml:space="preserve"> </w:t>
      </w:r>
      <w:r w:rsidRPr="001C7E02">
        <w:rPr>
          <w:rFonts w:ascii="David" w:hAnsi="David" w:cs="David"/>
          <w:sz w:val="24"/>
          <w:szCs w:val="24"/>
          <w:rtl/>
        </w:rPr>
        <w:t xml:space="preserve">בגין הנזק הלא ממוני </w:t>
      </w:r>
      <w:r>
        <w:rPr>
          <w:rFonts w:ascii="David" w:hAnsi="David" w:cs="David" w:hint="cs"/>
          <w:sz w:val="24"/>
          <w:szCs w:val="24"/>
          <w:rtl/>
        </w:rPr>
        <w:t xml:space="preserve">ועגמת הנפש </w:t>
      </w:r>
      <w:r w:rsidRPr="001C7E02">
        <w:rPr>
          <w:rFonts w:ascii="David" w:hAnsi="David" w:cs="David"/>
          <w:sz w:val="24"/>
          <w:szCs w:val="24"/>
          <w:rtl/>
        </w:rPr>
        <w:t>שנגר</w:t>
      </w:r>
      <w:r>
        <w:rPr>
          <w:rFonts w:ascii="David" w:hAnsi="David" w:cs="David" w:hint="cs"/>
          <w:sz w:val="24"/>
          <w:szCs w:val="24"/>
          <w:rtl/>
        </w:rPr>
        <w:t xml:space="preserve">מו </w:t>
      </w:r>
      <w:r w:rsidRPr="001C7E02">
        <w:rPr>
          <w:rFonts w:ascii="David" w:hAnsi="David" w:cs="David"/>
          <w:sz w:val="24"/>
          <w:szCs w:val="24"/>
          <w:rtl/>
        </w:rPr>
        <w:t xml:space="preserve">בשל </w:t>
      </w:r>
      <w:r>
        <w:rPr>
          <w:rFonts w:ascii="David" w:hAnsi="David" w:cs="David" w:hint="cs"/>
          <w:sz w:val="24"/>
          <w:szCs w:val="24"/>
          <w:rtl/>
        </w:rPr>
        <w:t>ה</w:t>
      </w:r>
      <w:r w:rsidRPr="001C7E02">
        <w:rPr>
          <w:rFonts w:ascii="David" w:hAnsi="David" w:cs="David"/>
          <w:sz w:val="24"/>
          <w:szCs w:val="24"/>
          <w:rtl/>
        </w:rPr>
        <w:t xml:space="preserve">פגיעה </w:t>
      </w:r>
      <w:r>
        <w:rPr>
          <w:rFonts w:ascii="David" w:hAnsi="David" w:cs="David" w:hint="cs"/>
          <w:sz w:val="24"/>
          <w:szCs w:val="24"/>
          <w:rtl/>
        </w:rPr>
        <w:t>ה</w:t>
      </w:r>
      <w:r w:rsidRPr="001C7E02">
        <w:rPr>
          <w:rFonts w:ascii="David" w:hAnsi="David" w:cs="David"/>
          <w:sz w:val="24"/>
          <w:szCs w:val="24"/>
          <w:rtl/>
        </w:rPr>
        <w:t>לא מידתית בזכותה לפרטיות, לכבוד ולשמירה על האוטונומיה</w:t>
      </w:r>
      <w:r>
        <w:rPr>
          <w:rFonts w:ascii="David" w:hAnsi="David" w:cs="David" w:hint="cs"/>
          <w:sz w:val="24"/>
          <w:szCs w:val="24"/>
          <w:rtl/>
        </w:rPr>
        <w:t>.</w:t>
      </w:r>
    </w:p>
    <w:p w:rsidR="00697BC3" w:rsidRPr="001C7E02" w:rsidRDefault="00697BC3" w:rsidP="003372A6">
      <w:pPr>
        <w:spacing w:after="0" w:line="360" w:lineRule="auto"/>
        <w:jc w:val="both"/>
        <w:rPr>
          <w:rFonts w:ascii="David" w:hAnsi="David" w:cs="David"/>
          <w:sz w:val="24"/>
          <w:szCs w:val="24"/>
        </w:rPr>
      </w:pPr>
      <w:r>
        <w:rPr>
          <w:rFonts w:ascii="David" w:hAnsi="David" w:cs="David" w:hint="cs"/>
          <w:sz w:val="24"/>
          <w:szCs w:val="24"/>
          <w:rtl/>
        </w:rPr>
        <w:t xml:space="preserve">נוסף </w:t>
      </w:r>
      <w:r w:rsidR="003372A6">
        <w:rPr>
          <w:rFonts w:ascii="David" w:hAnsi="David" w:cs="David" w:hint="cs"/>
          <w:sz w:val="24"/>
          <w:szCs w:val="24"/>
          <w:rtl/>
        </w:rPr>
        <w:t xml:space="preserve">על כך </w:t>
      </w:r>
      <w:r>
        <w:rPr>
          <w:rFonts w:ascii="David" w:hAnsi="David" w:cs="David" w:hint="cs"/>
          <w:sz w:val="24"/>
          <w:szCs w:val="24"/>
          <w:rtl/>
        </w:rPr>
        <w:t xml:space="preserve">הנתבעת </w:t>
      </w:r>
      <w:r w:rsidR="003372A6">
        <w:rPr>
          <w:rFonts w:ascii="David" w:hAnsi="David" w:cs="David" w:hint="cs"/>
          <w:sz w:val="24"/>
          <w:szCs w:val="24"/>
          <w:rtl/>
        </w:rPr>
        <w:t xml:space="preserve">חויבה </w:t>
      </w:r>
      <w:r>
        <w:rPr>
          <w:rFonts w:ascii="David" w:hAnsi="David" w:cs="David" w:hint="cs"/>
          <w:sz w:val="24"/>
          <w:szCs w:val="24"/>
          <w:rtl/>
        </w:rPr>
        <w:t>לשלם לתובעות שכ"ט עו"ד בסכום של 50,000 ₪ והחזר אגרה יחסי לסכום הפיצויים שנפסק.</w:t>
      </w:r>
    </w:p>
    <w:p w:rsidR="00541C9E" w:rsidRPr="00697BC3" w:rsidRDefault="00541C9E" w:rsidP="00697BC3">
      <w:pPr>
        <w:spacing w:after="0" w:line="360" w:lineRule="auto"/>
        <w:jc w:val="both"/>
        <w:rPr>
          <w:rFonts w:ascii="FrankRuehl" w:hAnsi="FrankRuehl" w:cs="FrankRuehl"/>
          <w:color w:val="323E4F" w:themeColor="text2" w:themeShade="BF"/>
          <w:sz w:val="26"/>
          <w:szCs w:val="26"/>
          <w:rtl/>
        </w:rPr>
      </w:pPr>
    </w:p>
    <w:p w:rsidR="00541C9E" w:rsidRDefault="00541C9E" w:rsidP="00541C9E">
      <w:pPr>
        <w:spacing w:after="120" w:line="360" w:lineRule="auto"/>
        <w:jc w:val="both"/>
        <w:rPr>
          <w:rFonts w:ascii="FrankRuehl" w:hAnsi="FrankRuehl" w:cs="FrankRuehl"/>
          <w:color w:val="323E4F" w:themeColor="text2" w:themeShade="BF"/>
          <w:sz w:val="26"/>
          <w:szCs w:val="26"/>
          <w:rtl/>
        </w:rPr>
      </w:pPr>
    </w:p>
    <w:p w:rsidR="00541C9E" w:rsidRDefault="00541C9E" w:rsidP="00541C9E">
      <w:pPr>
        <w:spacing w:after="120" w:line="360" w:lineRule="auto"/>
        <w:jc w:val="both"/>
        <w:rPr>
          <w:rFonts w:ascii="FrankRuehl" w:hAnsi="FrankRuehl" w:cs="FrankRuehl"/>
          <w:color w:val="323E4F" w:themeColor="text2" w:themeShade="BF"/>
          <w:sz w:val="26"/>
          <w:szCs w:val="26"/>
        </w:rPr>
      </w:pPr>
    </w:p>
    <w:p w:rsidR="00541C9E" w:rsidRDefault="00541C9E" w:rsidP="00541C9E">
      <w:pPr>
        <w:spacing w:after="120" w:line="360" w:lineRule="auto"/>
        <w:jc w:val="both"/>
        <w:rPr>
          <w:rFonts w:ascii="FrankRuehl" w:hAnsi="FrankRuehl" w:cs="FrankRuehl"/>
          <w:color w:val="323E4F" w:themeColor="text2" w:themeShade="BF"/>
          <w:sz w:val="26"/>
          <w:szCs w:val="26"/>
          <w:rtl/>
        </w:rPr>
      </w:pPr>
    </w:p>
    <w:p w:rsidR="00541C9E" w:rsidRPr="000071E5" w:rsidRDefault="00541C9E" w:rsidP="00541C9E">
      <w:pPr>
        <w:spacing w:after="120" w:line="360" w:lineRule="auto"/>
        <w:jc w:val="center"/>
        <w:rPr>
          <w:rFonts w:ascii="FrankRuehl" w:hAnsi="FrankRuehl" w:cs="FrankRuehl"/>
          <w:b/>
          <w:bCs/>
          <w:color w:val="002060"/>
          <w:sz w:val="26"/>
          <w:szCs w:val="26"/>
        </w:rPr>
      </w:pPr>
      <w:r w:rsidRPr="000071E5">
        <w:rPr>
          <w:rFonts w:ascii="FrankRuehl" w:hAnsi="FrankRuehl" w:cs="FrankRuehl" w:hint="cs"/>
          <w:b/>
          <w:bCs/>
          <w:color w:val="002060"/>
          <w:sz w:val="26"/>
          <w:szCs w:val="26"/>
          <w:rtl/>
        </w:rPr>
        <w:t xml:space="preserve">*** </w:t>
      </w:r>
      <w:r w:rsidRPr="000071E5">
        <w:rPr>
          <w:rFonts w:ascii="FrankRuehl" w:hAnsi="FrankRuehl" w:cs="FrankRuehl"/>
          <w:b/>
          <w:bCs/>
          <w:color w:val="002060"/>
          <w:sz w:val="26"/>
          <w:szCs w:val="26"/>
          <w:rtl/>
        </w:rPr>
        <w:t>התקציר אינו בא להחליף את פסק</w:t>
      </w:r>
      <w:r w:rsidRPr="000071E5">
        <w:rPr>
          <w:rFonts w:ascii="FrankRuehl" w:hAnsi="FrankRuehl" w:cs="FrankRuehl" w:hint="cs"/>
          <w:b/>
          <w:bCs/>
          <w:color w:val="002060"/>
          <w:sz w:val="26"/>
          <w:szCs w:val="26"/>
          <w:rtl/>
        </w:rPr>
        <w:t>-</w:t>
      </w:r>
      <w:r w:rsidRPr="000071E5">
        <w:rPr>
          <w:rFonts w:ascii="FrankRuehl" w:hAnsi="FrankRuehl" w:cs="FrankRuehl"/>
          <w:b/>
          <w:bCs/>
          <w:color w:val="002060"/>
          <w:sz w:val="26"/>
          <w:szCs w:val="26"/>
          <w:rtl/>
        </w:rPr>
        <w:t>הדין, הנוסח המחייב הוא זה של פסק-הדין המלא</w:t>
      </w:r>
      <w:r w:rsidRPr="000071E5">
        <w:rPr>
          <w:rFonts w:ascii="FrankRuehl" w:hAnsi="FrankRuehl" w:cs="FrankRuehl" w:hint="cs"/>
          <w:b/>
          <w:bCs/>
          <w:color w:val="002060"/>
          <w:sz w:val="26"/>
          <w:szCs w:val="26"/>
          <w:rtl/>
        </w:rPr>
        <w:t xml:space="preserve"> ***</w:t>
      </w:r>
    </w:p>
    <w:p w:rsidR="00515986" w:rsidRDefault="00515986" w:rsidP="000C4D75">
      <w:pPr>
        <w:tabs>
          <w:tab w:val="num" w:pos="1080"/>
        </w:tabs>
        <w:spacing w:after="0" w:line="276" w:lineRule="auto"/>
        <w:jc w:val="both"/>
        <w:rPr>
          <w:rFonts w:ascii="Arial" w:eastAsia="Times New Roman" w:hAnsi="Arial" w:cs="David"/>
          <w:b/>
          <w:bCs/>
          <w:sz w:val="24"/>
          <w:szCs w:val="24"/>
          <w:rtl/>
        </w:rPr>
      </w:pPr>
    </w:p>
    <w:p w:rsidR="00515986" w:rsidRDefault="00515986" w:rsidP="000C4D75">
      <w:pPr>
        <w:tabs>
          <w:tab w:val="num" w:pos="1080"/>
        </w:tabs>
        <w:spacing w:after="0" w:line="276" w:lineRule="auto"/>
        <w:jc w:val="both"/>
        <w:rPr>
          <w:rFonts w:ascii="Arial" w:eastAsia="Times New Roman" w:hAnsi="Arial" w:cs="David"/>
          <w:b/>
          <w:bCs/>
          <w:sz w:val="24"/>
          <w:szCs w:val="24"/>
          <w:rtl/>
        </w:rPr>
      </w:pPr>
    </w:p>
    <w:p w:rsidR="002453CF" w:rsidRPr="007B7899" w:rsidRDefault="002453CF" w:rsidP="007B7899">
      <w:pPr>
        <w:spacing w:before="100" w:beforeAutospacing="1" w:after="100" w:afterAutospacing="1" w:line="240" w:lineRule="auto"/>
        <w:ind w:left="4320"/>
        <w:jc w:val="both"/>
        <w:rPr>
          <w:rFonts w:ascii="Times New Roman" w:eastAsia="Times New Roman" w:hAnsi="Times New Roman" w:cs="David"/>
          <w:b/>
          <w:bCs/>
          <w:color w:val="002060"/>
          <w:rtl/>
        </w:rPr>
      </w:pPr>
    </w:p>
    <w:sectPr w:rsidR="002453CF" w:rsidRPr="007B7899" w:rsidSect="00B16422">
      <w:headerReference w:type="default" r:id="rId8"/>
      <w:footerReference w:type="default" r:id="rId9"/>
      <w:pgSz w:w="11906" w:h="16838"/>
      <w:pgMar w:top="1440" w:right="1800" w:bottom="1440" w:left="1800" w:header="708" w:footer="708"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D13B1" w:rsidRDefault="00AD13B1" w:rsidP="00730CA1">
      <w:pPr>
        <w:spacing w:after="0" w:line="240" w:lineRule="auto"/>
      </w:pPr>
      <w:r>
        <w:separator/>
      </w:r>
    </w:p>
  </w:endnote>
  <w:endnote w:type="continuationSeparator" w:id="0">
    <w:p w:rsidR="00AD13B1" w:rsidRDefault="00AD13B1" w:rsidP="00730C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FrankRuehl">
    <w:panose1 w:val="020E0503060101010101"/>
    <w:charset w:val="00"/>
    <w:family w:val="swiss"/>
    <w:pitch w:val="variable"/>
    <w:sig w:usb0="00000803" w:usb1="00000000" w:usb2="00000000" w:usb3="00000000" w:csb0="00000021" w:csb1="00000000"/>
  </w:font>
  <w:font w:name="Century">
    <w:panose1 w:val="0204060405050502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1C9E" w:rsidRPr="003C61AF" w:rsidRDefault="00541C9E" w:rsidP="00541C9E">
    <w:pPr>
      <w:tabs>
        <w:tab w:val="center" w:pos="4153"/>
        <w:tab w:val="right" w:pos="8306"/>
      </w:tabs>
      <w:spacing w:after="0" w:line="240" w:lineRule="auto"/>
      <w:rPr>
        <w:rFonts w:ascii="Times New Roman" w:eastAsia="Times New Roman" w:hAnsi="Times New Roman" w:cs="FrankRuehl"/>
        <w:b/>
        <w:bCs/>
        <w:color w:val="000080"/>
        <w:spacing w:val="6"/>
        <w:sz w:val="24"/>
        <w:szCs w:val="24"/>
        <w:rtl/>
      </w:rPr>
    </w:pPr>
    <w:r w:rsidRPr="003C61AF">
      <w:rPr>
        <w:rFonts w:ascii="Times New Roman" w:eastAsia="Times New Roman" w:hAnsi="Times New Roman" w:cs="FrankRuehl"/>
        <w:b/>
        <w:bCs/>
        <w:color w:val="000080"/>
        <w:spacing w:val="6"/>
        <w:sz w:val="24"/>
        <w:szCs w:val="24"/>
        <w:rtl/>
      </w:rPr>
      <w:t>________________________________________________________________</w:t>
    </w:r>
  </w:p>
  <w:p w:rsidR="00541C9E" w:rsidRPr="003C61AF" w:rsidRDefault="00541C9E" w:rsidP="00541C9E">
    <w:pPr>
      <w:tabs>
        <w:tab w:val="center" w:pos="4153"/>
        <w:tab w:val="right" w:pos="8306"/>
      </w:tabs>
      <w:spacing w:after="0" w:line="240" w:lineRule="auto"/>
      <w:jc w:val="center"/>
      <w:rPr>
        <w:rFonts w:ascii="Times New Roman" w:eastAsia="Times New Roman" w:hAnsi="Times New Roman" w:cs="FrankRuehl"/>
        <w:b/>
        <w:bCs/>
        <w:color w:val="000080"/>
        <w:spacing w:val="6"/>
        <w:sz w:val="24"/>
        <w:szCs w:val="24"/>
        <w:rtl/>
      </w:rPr>
    </w:pPr>
    <w:r>
      <w:rPr>
        <w:rFonts w:ascii="Times New Roman" w:eastAsia="Times New Roman" w:hAnsi="Times New Roman" w:cs="FrankRuehl" w:hint="cs"/>
        <w:b/>
        <w:bCs/>
        <w:color w:val="000080"/>
        <w:spacing w:val="6"/>
        <w:sz w:val="24"/>
        <w:szCs w:val="24"/>
        <w:rtl/>
      </w:rPr>
      <w:t xml:space="preserve">בית משפט העליון | רחוב דרך השופט מאיר שמגר 1 | </w:t>
    </w:r>
    <w:proofErr w:type="spellStart"/>
    <w:r>
      <w:rPr>
        <w:rFonts w:ascii="Times New Roman" w:eastAsia="Times New Roman" w:hAnsi="Times New Roman" w:cs="FrankRuehl" w:hint="cs"/>
        <w:b/>
        <w:bCs/>
        <w:color w:val="000080"/>
        <w:spacing w:val="6"/>
        <w:sz w:val="24"/>
        <w:szCs w:val="24"/>
        <w:rtl/>
      </w:rPr>
      <w:t>קרית</w:t>
    </w:r>
    <w:proofErr w:type="spellEnd"/>
    <w:r>
      <w:rPr>
        <w:rFonts w:ascii="Times New Roman" w:eastAsia="Times New Roman" w:hAnsi="Times New Roman" w:cs="FrankRuehl" w:hint="cs"/>
        <w:b/>
        <w:bCs/>
        <w:color w:val="000080"/>
        <w:spacing w:val="6"/>
        <w:sz w:val="24"/>
        <w:szCs w:val="24"/>
        <w:rtl/>
      </w:rPr>
      <w:t xml:space="preserve"> בן גוריון |</w:t>
    </w:r>
    <w:r w:rsidRPr="003C61AF">
      <w:rPr>
        <w:rFonts w:ascii="Times New Roman" w:eastAsia="Times New Roman" w:hAnsi="Times New Roman" w:cs="FrankRuehl" w:hint="cs"/>
        <w:b/>
        <w:bCs/>
        <w:color w:val="000080"/>
        <w:spacing w:val="6"/>
        <w:sz w:val="24"/>
        <w:szCs w:val="24"/>
        <w:rtl/>
      </w:rPr>
      <w:t xml:space="preserve"> ירושלים</w:t>
    </w:r>
  </w:p>
  <w:p w:rsidR="003C61AF" w:rsidRPr="00541C9E" w:rsidRDefault="00541C9E" w:rsidP="00541C9E">
    <w:pPr>
      <w:tabs>
        <w:tab w:val="center" w:pos="4153"/>
        <w:tab w:val="right" w:pos="8306"/>
      </w:tabs>
      <w:spacing w:after="0" w:line="240" w:lineRule="auto"/>
      <w:jc w:val="center"/>
      <w:rPr>
        <w:rFonts w:ascii="Times New Roman" w:eastAsia="Times New Roman" w:hAnsi="Times New Roman" w:cs="FrankRuehl"/>
        <w:b/>
        <w:bCs/>
        <w:color w:val="000080"/>
        <w:spacing w:val="6"/>
        <w:sz w:val="24"/>
        <w:szCs w:val="24"/>
      </w:rPr>
    </w:pPr>
    <w:r w:rsidRPr="003C61AF">
      <w:rPr>
        <w:rFonts w:ascii="Times New Roman" w:eastAsia="Times New Roman" w:hAnsi="Times New Roman" w:cs="FrankRuehl" w:hint="cs"/>
        <w:b/>
        <w:bCs/>
        <w:color w:val="000080"/>
        <w:spacing w:val="6"/>
        <w:sz w:val="24"/>
        <w:szCs w:val="24"/>
        <w:rtl/>
      </w:rPr>
      <w:t xml:space="preserve">טל: </w:t>
    </w:r>
    <w:r w:rsidRPr="003C61AF">
      <w:rPr>
        <w:rFonts w:ascii="Times New Roman" w:eastAsia="Times New Roman" w:hAnsi="Times New Roman" w:cs="FrankRuehl"/>
        <w:b/>
        <w:bCs/>
        <w:color w:val="000080"/>
        <w:spacing w:val="6"/>
        <w:sz w:val="24"/>
        <w:szCs w:val="24"/>
      </w:rPr>
      <w:t>074-7480412</w:t>
    </w:r>
    <w:r w:rsidRPr="003C61AF">
      <w:rPr>
        <w:rFonts w:ascii="Times New Roman" w:eastAsia="Times New Roman" w:hAnsi="Times New Roman" w:cs="FrankRuehl" w:hint="cs"/>
        <w:b/>
        <w:bCs/>
        <w:color w:val="000080"/>
        <w:spacing w:val="6"/>
        <w:sz w:val="24"/>
        <w:szCs w:val="24"/>
        <w:rtl/>
      </w:rPr>
      <w:t xml:space="preserve">           </w:t>
    </w:r>
    <w:r>
      <w:rPr>
        <w:rFonts w:ascii="Times New Roman" w:eastAsia="Times New Roman" w:hAnsi="Times New Roman" w:cs="FrankRuehl" w:hint="cs"/>
        <w:b/>
        <w:bCs/>
        <w:color w:val="000080"/>
        <w:spacing w:val="6"/>
        <w:sz w:val="24"/>
        <w:szCs w:val="24"/>
        <w:rtl/>
      </w:rPr>
      <w:t xml:space="preserve">     </w:t>
    </w:r>
    <w:r w:rsidRPr="003C61AF">
      <w:rPr>
        <w:rFonts w:ascii="Times New Roman" w:eastAsia="Times New Roman" w:hAnsi="Times New Roman" w:cs="FrankRuehl" w:hint="cs"/>
        <w:b/>
        <w:bCs/>
        <w:color w:val="000080"/>
        <w:spacing w:val="6"/>
        <w:sz w:val="24"/>
        <w:szCs w:val="24"/>
        <w:rtl/>
      </w:rPr>
      <w:t xml:space="preserve">   </w:t>
    </w:r>
    <w:r>
      <w:rPr>
        <w:rFonts w:ascii="Times New Roman" w:eastAsia="Times New Roman" w:hAnsi="Times New Roman" w:cs="FrankRuehl" w:hint="cs"/>
        <w:b/>
        <w:bCs/>
        <w:color w:val="000080"/>
        <w:spacing w:val="6"/>
        <w:sz w:val="24"/>
        <w:szCs w:val="24"/>
        <w:rtl/>
      </w:rPr>
      <w:t xml:space="preserve">           </w:t>
    </w:r>
    <w:r w:rsidRPr="003C61AF">
      <w:rPr>
        <w:rFonts w:ascii="Times New Roman" w:eastAsia="Times New Roman" w:hAnsi="Times New Roman" w:cs="FrankRuehl" w:hint="cs"/>
        <w:b/>
        <w:bCs/>
        <w:color w:val="000080"/>
        <w:spacing w:val="6"/>
        <w:sz w:val="24"/>
        <w:szCs w:val="24"/>
        <w:rtl/>
      </w:rPr>
      <w:t xml:space="preserve">  דוא"ל</w:t>
    </w:r>
    <w:r w:rsidRPr="003C61AF">
      <w:rPr>
        <w:rFonts w:ascii="Times New Roman" w:eastAsia="Times New Roman" w:hAnsi="Times New Roman" w:cs="FrankRuehl"/>
        <w:b/>
        <w:bCs/>
        <w:color w:val="000080"/>
        <w:spacing w:val="6"/>
        <w:sz w:val="24"/>
        <w:szCs w:val="24"/>
      </w:rPr>
      <w:t>:</w:t>
    </w:r>
    <w:r w:rsidRPr="003C61AF">
      <w:rPr>
        <w:rFonts w:ascii="Times New Roman" w:eastAsia="Times New Roman" w:hAnsi="Times New Roman" w:cs="FrankRuehl" w:hint="cs"/>
        <w:b/>
        <w:bCs/>
        <w:color w:val="000080"/>
        <w:spacing w:val="6"/>
        <w:sz w:val="24"/>
        <w:szCs w:val="24"/>
        <w:rtl/>
      </w:rPr>
      <w:t xml:space="preserve">  </w:t>
    </w:r>
    <w:hyperlink r:id="rId1" w:history="1">
      <w:r w:rsidRPr="003C61AF">
        <w:rPr>
          <w:rFonts w:ascii="Times New Roman" w:eastAsia="Times New Roman" w:hAnsi="Times New Roman" w:cs="FrankRuehl"/>
          <w:b/>
          <w:bCs/>
          <w:color w:val="0000FF"/>
          <w:spacing w:val="6"/>
          <w:sz w:val="24"/>
          <w:szCs w:val="24"/>
          <w:u w:val="single"/>
        </w:rPr>
        <w:t>Dover@court.gov.il</w:t>
      </w:r>
    </w:hyperlink>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D13B1" w:rsidRDefault="00AD13B1" w:rsidP="00730CA1">
      <w:pPr>
        <w:spacing w:after="0" w:line="240" w:lineRule="auto"/>
      </w:pPr>
      <w:r>
        <w:separator/>
      </w:r>
    </w:p>
  </w:footnote>
  <w:footnote w:type="continuationSeparator" w:id="0">
    <w:p w:rsidR="00AD13B1" w:rsidRDefault="00AD13B1" w:rsidP="00730CA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53B2" w:rsidRPr="005253B2" w:rsidRDefault="005253B2" w:rsidP="005253B2">
    <w:pPr>
      <w:tabs>
        <w:tab w:val="center" w:pos="4153"/>
        <w:tab w:val="right" w:pos="8306"/>
      </w:tabs>
      <w:overflowPunct w:val="0"/>
      <w:autoSpaceDE w:val="0"/>
      <w:autoSpaceDN w:val="0"/>
      <w:adjustRightInd w:val="0"/>
      <w:spacing w:after="0" w:line="240" w:lineRule="auto"/>
      <w:jc w:val="center"/>
      <w:rPr>
        <w:rFonts w:ascii="Times New Roman" w:eastAsia="Times New Roman" w:hAnsi="Times New Roman" w:cs="David"/>
        <w:sz w:val="20"/>
        <w:szCs w:val="24"/>
        <w:lang w:eastAsia="he-IL"/>
      </w:rPr>
    </w:pPr>
    <w:r w:rsidRPr="005253B2">
      <w:rPr>
        <w:rFonts w:ascii="Times New Roman" w:eastAsia="Times New Roman" w:hAnsi="Times New Roman" w:cs="David"/>
        <w:noProof/>
        <w:sz w:val="20"/>
        <w:szCs w:val="24"/>
      </w:rPr>
      <w:drawing>
        <wp:inline distT="0" distB="0" distL="0" distR="0">
          <wp:extent cx="523875" cy="619125"/>
          <wp:effectExtent l="0" t="0" r="9525" b="9525"/>
          <wp:docPr id="1" name="תמונה 2" descr="תיאור: seme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2" descr="תיאור: seme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3875" cy="619125"/>
                  </a:xfrm>
                  <a:prstGeom prst="rect">
                    <a:avLst/>
                  </a:prstGeom>
                  <a:noFill/>
                  <a:ln>
                    <a:noFill/>
                  </a:ln>
                </pic:spPr>
              </pic:pic>
            </a:graphicData>
          </a:graphic>
        </wp:inline>
      </w:drawing>
    </w:r>
    <w:r w:rsidRPr="005253B2">
      <w:rPr>
        <w:rFonts w:ascii="Century" w:eastAsia="Times New Roman" w:hAnsi="Century" w:cs="FrankRuehl" w:hint="cs"/>
        <w:noProof/>
        <w:spacing w:val="10"/>
        <w:sz w:val="20"/>
        <w:szCs w:val="28"/>
        <w:rtl/>
        <w:lang w:eastAsia="he-IL"/>
      </w:rPr>
      <w:t xml:space="preserve">                                            </w:t>
    </w:r>
  </w:p>
  <w:p w:rsidR="005253B2" w:rsidRPr="005253B2" w:rsidRDefault="005253B2" w:rsidP="005253B2">
    <w:pPr>
      <w:tabs>
        <w:tab w:val="center" w:pos="4153"/>
        <w:tab w:val="right" w:pos="8306"/>
      </w:tabs>
      <w:overflowPunct w:val="0"/>
      <w:autoSpaceDE w:val="0"/>
      <w:autoSpaceDN w:val="0"/>
      <w:adjustRightInd w:val="0"/>
      <w:spacing w:after="0" w:line="240" w:lineRule="auto"/>
      <w:jc w:val="center"/>
      <w:rPr>
        <w:rFonts w:ascii="Times New Roman" w:eastAsia="Times New Roman" w:hAnsi="Times New Roman" w:cs="FrankRuehl"/>
        <w:b/>
        <w:bCs/>
        <w:color w:val="000080"/>
        <w:spacing w:val="6"/>
        <w:sz w:val="28"/>
        <w:szCs w:val="28"/>
        <w:rtl/>
        <w:lang w:eastAsia="he-IL"/>
      </w:rPr>
    </w:pPr>
    <w:r w:rsidRPr="005253B2">
      <w:rPr>
        <w:rFonts w:ascii="Times New Roman" w:eastAsia="Times New Roman" w:hAnsi="Times New Roman" w:cs="FrankRuehl" w:hint="cs"/>
        <w:b/>
        <w:bCs/>
        <w:color w:val="000080"/>
        <w:spacing w:val="6"/>
        <w:sz w:val="28"/>
        <w:szCs w:val="28"/>
        <w:rtl/>
        <w:lang w:eastAsia="he-IL"/>
      </w:rPr>
      <w:t>מערכת בתי המשפט</w:t>
    </w:r>
  </w:p>
  <w:p w:rsidR="007007D7" w:rsidRPr="005253B2" w:rsidRDefault="005253B2" w:rsidP="005253B2">
    <w:pPr>
      <w:tabs>
        <w:tab w:val="center" w:pos="4153"/>
        <w:tab w:val="right" w:pos="8306"/>
      </w:tabs>
      <w:overflowPunct w:val="0"/>
      <w:autoSpaceDE w:val="0"/>
      <w:autoSpaceDN w:val="0"/>
      <w:adjustRightInd w:val="0"/>
      <w:spacing w:after="0" w:line="240" w:lineRule="auto"/>
      <w:jc w:val="center"/>
      <w:rPr>
        <w:rFonts w:ascii="Times New Roman" w:eastAsia="Times New Roman" w:hAnsi="Times New Roman" w:cs="FrankRuehl"/>
        <w:b/>
        <w:bCs/>
        <w:color w:val="000080"/>
        <w:spacing w:val="6"/>
        <w:sz w:val="28"/>
        <w:szCs w:val="28"/>
        <w:lang w:eastAsia="he-IL"/>
      </w:rPr>
    </w:pPr>
    <w:r w:rsidRPr="005253B2">
      <w:rPr>
        <w:rFonts w:ascii="Times New Roman" w:eastAsia="Times New Roman" w:hAnsi="Times New Roman" w:cs="FrankRuehl" w:hint="cs"/>
        <w:b/>
        <w:bCs/>
        <w:color w:val="000080"/>
        <w:spacing w:val="6"/>
        <w:sz w:val="28"/>
        <w:szCs w:val="28"/>
        <w:rtl/>
        <w:lang w:eastAsia="he-IL"/>
      </w:rPr>
      <w:t>דוברות והסברה</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57B27"/>
    <w:multiLevelType w:val="multilevel"/>
    <w:tmpl w:val="2EA02F4A"/>
    <w:lvl w:ilvl="0">
      <w:start w:val="1"/>
      <w:numFmt w:val="decimal"/>
      <w:lvlText w:val="%1."/>
      <w:lvlJc w:val="left"/>
      <w:pPr>
        <w:tabs>
          <w:tab w:val="num" w:pos="454"/>
        </w:tabs>
        <w:ind w:left="454" w:hanging="454"/>
      </w:pPr>
      <w:rPr>
        <w:rFonts w:hint="default"/>
        <w:bCs w:val="0"/>
        <w:iCs w:val="0"/>
        <w:szCs w:val="24"/>
      </w:rPr>
    </w:lvl>
    <w:lvl w:ilvl="1">
      <w:start w:val="1"/>
      <w:numFmt w:val="hebrew1"/>
      <w:lvlText w:val="%2."/>
      <w:lvlJc w:val="left"/>
      <w:pPr>
        <w:tabs>
          <w:tab w:val="num" w:pos="907"/>
        </w:tabs>
        <w:ind w:left="908" w:hanging="454"/>
      </w:pPr>
      <w:rPr>
        <w:rFonts w:cs="David" w:hint="cs"/>
        <w:bCs w:val="0"/>
        <w:iCs w:val="0"/>
        <w:szCs w:val="26"/>
      </w:rPr>
    </w:lvl>
    <w:lvl w:ilvl="2">
      <w:start w:val="1"/>
      <w:numFmt w:val="decimal"/>
      <w:lvlText w:val="(%3)"/>
      <w:lvlJc w:val="left"/>
      <w:pPr>
        <w:tabs>
          <w:tab w:val="num" w:pos="1361"/>
        </w:tabs>
        <w:ind w:left="1362" w:hanging="454"/>
      </w:pPr>
      <w:rPr>
        <w:rFonts w:ascii="Times New Roman" w:hAnsi="Times New Roman" w:cs="David" w:hint="default"/>
        <w:b w:val="0"/>
        <w:bCs w:val="0"/>
        <w:i w:val="0"/>
        <w:iCs w:val="0"/>
        <w:sz w:val="24"/>
        <w:szCs w:val="24"/>
      </w:rPr>
    </w:lvl>
    <w:lvl w:ilvl="3">
      <w:start w:val="1"/>
      <w:numFmt w:val="decimal"/>
      <w:lvlText w:val="(%4)"/>
      <w:lvlJc w:val="left"/>
      <w:pPr>
        <w:ind w:left="1816" w:hanging="454"/>
      </w:pPr>
      <w:rPr>
        <w:rFonts w:hint="default"/>
      </w:rPr>
    </w:lvl>
    <w:lvl w:ilvl="4">
      <w:start w:val="1"/>
      <w:numFmt w:val="lowerLetter"/>
      <w:lvlText w:val="(%5)"/>
      <w:lvlJc w:val="left"/>
      <w:pPr>
        <w:ind w:left="2270" w:hanging="454"/>
      </w:pPr>
      <w:rPr>
        <w:rFonts w:hint="default"/>
      </w:rPr>
    </w:lvl>
    <w:lvl w:ilvl="5">
      <w:start w:val="1"/>
      <w:numFmt w:val="lowerRoman"/>
      <w:lvlText w:val="(%6)"/>
      <w:lvlJc w:val="left"/>
      <w:pPr>
        <w:ind w:left="2724" w:hanging="454"/>
      </w:pPr>
      <w:rPr>
        <w:rFonts w:hint="default"/>
      </w:rPr>
    </w:lvl>
    <w:lvl w:ilvl="6">
      <w:start w:val="1"/>
      <w:numFmt w:val="decimal"/>
      <w:lvlText w:val="%7."/>
      <w:lvlJc w:val="left"/>
      <w:pPr>
        <w:ind w:left="3178" w:hanging="454"/>
      </w:pPr>
      <w:rPr>
        <w:rFonts w:hint="default"/>
      </w:rPr>
    </w:lvl>
    <w:lvl w:ilvl="7">
      <w:start w:val="1"/>
      <w:numFmt w:val="lowerLetter"/>
      <w:lvlText w:val="%8."/>
      <w:lvlJc w:val="left"/>
      <w:pPr>
        <w:ind w:left="3632" w:hanging="454"/>
      </w:pPr>
      <w:rPr>
        <w:rFonts w:hint="default"/>
      </w:rPr>
    </w:lvl>
    <w:lvl w:ilvl="8">
      <w:start w:val="1"/>
      <w:numFmt w:val="lowerRoman"/>
      <w:lvlText w:val="%9."/>
      <w:lvlJc w:val="left"/>
      <w:pPr>
        <w:ind w:left="4086" w:hanging="454"/>
      </w:pPr>
      <w:rPr>
        <w:rFonts w:hint="default"/>
      </w:r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1"/>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53CF"/>
    <w:rsid w:val="000011AE"/>
    <w:rsid w:val="00025761"/>
    <w:rsid w:val="000C4D75"/>
    <w:rsid w:val="001D42A7"/>
    <w:rsid w:val="002453CF"/>
    <w:rsid w:val="002C0E83"/>
    <w:rsid w:val="003372A6"/>
    <w:rsid w:val="003921C3"/>
    <w:rsid w:val="003C61AF"/>
    <w:rsid w:val="003E6E39"/>
    <w:rsid w:val="003E7EB7"/>
    <w:rsid w:val="00426AA7"/>
    <w:rsid w:val="00515986"/>
    <w:rsid w:val="005253B2"/>
    <w:rsid w:val="00541C9E"/>
    <w:rsid w:val="005A6F60"/>
    <w:rsid w:val="00631744"/>
    <w:rsid w:val="00690B6F"/>
    <w:rsid w:val="00697BC3"/>
    <w:rsid w:val="006B7B96"/>
    <w:rsid w:val="006C3B1F"/>
    <w:rsid w:val="006F1E1F"/>
    <w:rsid w:val="007007D7"/>
    <w:rsid w:val="00711675"/>
    <w:rsid w:val="00712D36"/>
    <w:rsid w:val="00730CA1"/>
    <w:rsid w:val="00754FCE"/>
    <w:rsid w:val="007B7899"/>
    <w:rsid w:val="00832AD7"/>
    <w:rsid w:val="008C02E0"/>
    <w:rsid w:val="008F1CB3"/>
    <w:rsid w:val="00983123"/>
    <w:rsid w:val="009E5C0E"/>
    <w:rsid w:val="00AC56B7"/>
    <w:rsid w:val="00AD13B1"/>
    <w:rsid w:val="00AD7644"/>
    <w:rsid w:val="00B16422"/>
    <w:rsid w:val="00B22AFC"/>
    <w:rsid w:val="00BA3143"/>
    <w:rsid w:val="00C22E08"/>
    <w:rsid w:val="00C37F37"/>
    <w:rsid w:val="00C50C55"/>
    <w:rsid w:val="00C529CC"/>
    <w:rsid w:val="00C676DD"/>
    <w:rsid w:val="00C842A7"/>
    <w:rsid w:val="00C85A27"/>
    <w:rsid w:val="00CA2D6A"/>
    <w:rsid w:val="00CB4940"/>
    <w:rsid w:val="00CD280B"/>
    <w:rsid w:val="00D11F77"/>
    <w:rsid w:val="00D205AB"/>
    <w:rsid w:val="00D43C0E"/>
    <w:rsid w:val="00D5319F"/>
    <w:rsid w:val="00E30969"/>
    <w:rsid w:val="00E35DF3"/>
    <w:rsid w:val="00EB6609"/>
    <w:rsid w:val="00F46250"/>
    <w:rsid w:val="00FF5555"/>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1059A2"/>
  <w15:chartTrackingRefBased/>
  <w15:docId w15:val="{73C43B57-6867-4F06-9DF1-55588D3D57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26AA7"/>
    <w:pPr>
      <w:spacing w:after="0" w:line="240" w:lineRule="auto"/>
    </w:pPr>
    <w:rPr>
      <w:rFonts w:ascii="Tahoma" w:hAnsi="Tahoma" w:cs="Tahoma"/>
      <w:sz w:val="18"/>
      <w:szCs w:val="18"/>
    </w:rPr>
  </w:style>
  <w:style w:type="character" w:customStyle="1" w:styleId="a4">
    <w:name w:val="טקסט בלונים תו"/>
    <w:basedOn w:val="a0"/>
    <w:link w:val="a3"/>
    <w:uiPriority w:val="99"/>
    <w:semiHidden/>
    <w:rsid w:val="00426AA7"/>
    <w:rPr>
      <w:rFonts w:ascii="Tahoma" w:hAnsi="Tahoma" w:cs="Tahoma"/>
      <w:sz w:val="18"/>
      <w:szCs w:val="18"/>
    </w:rPr>
  </w:style>
  <w:style w:type="character" w:styleId="Hyperlink">
    <w:name w:val="Hyperlink"/>
    <w:basedOn w:val="a0"/>
    <w:uiPriority w:val="99"/>
    <w:unhideWhenUsed/>
    <w:rsid w:val="00E35DF3"/>
    <w:rPr>
      <w:color w:val="0563C1" w:themeColor="hyperlink"/>
      <w:u w:val="single"/>
    </w:rPr>
  </w:style>
  <w:style w:type="paragraph" w:styleId="a5">
    <w:name w:val="header"/>
    <w:basedOn w:val="a"/>
    <w:link w:val="a6"/>
    <w:uiPriority w:val="99"/>
    <w:unhideWhenUsed/>
    <w:rsid w:val="00730CA1"/>
    <w:pPr>
      <w:tabs>
        <w:tab w:val="center" w:pos="4153"/>
        <w:tab w:val="right" w:pos="8306"/>
      </w:tabs>
      <w:spacing w:after="0" w:line="240" w:lineRule="auto"/>
    </w:pPr>
  </w:style>
  <w:style w:type="character" w:customStyle="1" w:styleId="a6">
    <w:name w:val="כותרת עליונה תו"/>
    <w:basedOn w:val="a0"/>
    <w:link w:val="a5"/>
    <w:uiPriority w:val="99"/>
    <w:rsid w:val="00730CA1"/>
  </w:style>
  <w:style w:type="paragraph" w:styleId="a7">
    <w:name w:val="footer"/>
    <w:basedOn w:val="a"/>
    <w:link w:val="a8"/>
    <w:uiPriority w:val="99"/>
    <w:unhideWhenUsed/>
    <w:rsid w:val="00730CA1"/>
    <w:pPr>
      <w:tabs>
        <w:tab w:val="center" w:pos="4153"/>
        <w:tab w:val="right" w:pos="8306"/>
      </w:tabs>
      <w:spacing w:after="0" w:line="240" w:lineRule="auto"/>
    </w:pPr>
  </w:style>
  <w:style w:type="character" w:customStyle="1" w:styleId="a8">
    <w:name w:val="כותרת תחתונה תו"/>
    <w:basedOn w:val="a0"/>
    <w:link w:val="a7"/>
    <w:uiPriority w:val="99"/>
    <w:rsid w:val="00730C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3739060">
      <w:bodyDiv w:val="1"/>
      <w:marLeft w:val="0"/>
      <w:marRight w:val="0"/>
      <w:marTop w:val="0"/>
      <w:marBottom w:val="0"/>
      <w:divBdr>
        <w:top w:val="none" w:sz="0" w:space="0" w:color="auto"/>
        <w:left w:val="none" w:sz="0" w:space="0" w:color="auto"/>
        <w:bottom w:val="none" w:sz="0" w:space="0" w:color="auto"/>
        <w:right w:val="none" w:sz="0" w:space="0" w:color="auto"/>
      </w:divBdr>
    </w:div>
    <w:div w:id="1171139320">
      <w:bodyDiv w:val="1"/>
      <w:marLeft w:val="0"/>
      <w:marRight w:val="0"/>
      <w:marTop w:val="0"/>
      <w:marBottom w:val="0"/>
      <w:divBdr>
        <w:top w:val="none" w:sz="0" w:space="0" w:color="auto"/>
        <w:left w:val="none" w:sz="0" w:space="0" w:color="auto"/>
        <w:bottom w:val="none" w:sz="0" w:space="0" w:color="auto"/>
        <w:right w:val="none" w:sz="0" w:space="0" w:color="auto"/>
      </w:divBdr>
    </w:div>
    <w:div w:id="1552304460">
      <w:bodyDiv w:val="1"/>
      <w:marLeft w:val="0"/>
      <w:marRight w:val="0"/>
      <w:marTop w:val="0"/>
      <w:marBottom w:val="0"/>
      <w:divBdr>
        <w:top w:val="none" w:sz="0" w:space="0" w:color="auto"/>
        <w:left w:val="none" w:sz="0" w:space="0" w:color="auto"/>
        <w:bottom w:val="none" w:sz="0" w:space="0" w:color="auto"/>
        <w:right w:val="none" w:sz="0" w:space="0" w:color="auto"/>
      </w:divBdr>
    </w:div>
    <w:div w:id="2064255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mailto:Dover@court.gov.i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SixthEditionOfficeOnline.xsl" StyleName="APA"/>
</file>

<file path=customXml/itemProps1.xml><?xml version="1.0" encoding="utf-8"?>
<ds:datastoreItem xmlns:ds="http://schemas.openxmlformats.org/officeDocument/2006/customXml" ds:itemID="{1D4AAA6C-39B0-44E1-940C-55940D3796B6}">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939</Words>
  <Characters>4695</Characters>
  <Application>Microsoft Office Word</Application>
  <DocSecurity>4</DocSecurity>
  <Lines>39</Lines>
  <Paragraphs>11</Paragraphs>
  <ScaleCrop>false</ScaleCrop>
  <HeadingPairs>
    <vt:vector size="2" baseType="variant">
      <vt:variant>
        <vt:lpstr>שם</vt:lpstr>
      </vt:variant>
      <vt:variant>
        <vt:i4>1</vt:i4>
      </vt:variant>
    </vt:vector>
  </HeadingPairs>
  <TitlesOfParts>
    <vt:vector size="1" baseType="lpstr">
      <vt:lpstr/>
    </vt:vector>
  </TitlesOfParts>
  <Company>court</Company>
  <LinksUpToDate>false</LinksUpToDate>
  <CharactersWithSpaces>5623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נירית לזימי</dc:creator>
  <cp:keywords/>
  <dc:description/>
  <cp:lastModifiedBy>רותם כהן</cp:lastModifiedBy>
  <cp:revision>2</cp:revision>
  <cp:lastPrinted>2017-11-13T12:38:00Z</cp:lastPrinted>
  <dcterms:created xsi:type="dcterms:W3CDTF">2023-09-21T10:58:00Z</dcterms:created>
  <dcterms:modified xsi:type="dcterms:W3CDTF">2023-09-21T10:58:00Z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DateEng">
    <vt:lpwstr>20 בספטמבר 2023</vt:lpwstr>
  </property>
  <property fmtid="{D5CDD505-2E9C-101B-9397-08002B2CF9AE}" pid="3" name="DocDateHeb">
    <vt:lpwstr>ה' בתשרי תשפ"ד</vt:lpwstr>
  </property>
  <property fmtid="{D5CDD505-2E9C-101B-9397-08002B2CF9AE}" pid="4" name="DocNumber">
    <vt:lpwstr>4700-1039-2023-008167</vt:lpwstr>
  </property>
  <property fmtid="{D5CDD505-2E9C-101B-9397-08002B2CF9AE}" pid="5" name="DocRecipientsName">
    <vt:lpwstr/>
  </property>
  <property fmtid="{D5CDD505-2E9C-101B-9397-08002B2CF9AE}" pid="6" name="DocToName">
    <vt:lpwstr/>
  </property>
  <property fmtid="{D5CDD505-2E9C-101B-9397-08002B2CF9AE}" pid="7" name="DocObjectName">
    <vt:lpwstr>תקציר פסק הדין בת"א. 11384-04-18 פלונית נ' מדינת ישראל – משרד המשפטים – מח"ש</vt:lpwstr>
  </property>
</Properties>
</file>